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66F61" w14:textId="77777777" w:rsidR="001C7883" w:rsidRPr="00DE1AF5" w:rsidRDefault="001C7883" w:rsidP="00DE1AF5">
      <w:pPr>
        <w:spacing w:before="1600"/>
        <w:jc w:val="both"/>
        <w:rPr>
          <w:rFonts w:ascii="Noto Sans JP" w:eastAsia="Noto Sans JP" w:hAnsi="Noto Sans JP"/>
        </w:rPr>
      </w:pPr>
    </w:p>
    <w:p w14:paraId="221BBBD9" w14:textId="77777777" w:rsidR="001C7883" w:rsidRPr="00DE1AF5" w:rsidRDefault="002E4D15" w:rsidP="00DE1AF5">
      <w:pPr>
        <w:spacing w:after="240"/>
        <w:jc w:val="center"/>
        <w:rPr>
          <w:rFonts w:ascii="Noto Sans JP" w:eastAsia="Noto Sans JP" w:hAnsi="Noto Sans JP"/>
        </w:rPr>
      </w:pPr>
      <w:r w:rsidRPr="00DE1AF5">
        <w:rPr>
          <w:rFonts w:ascii="Noto Sans JP" w:eastAsia="Noto Sans JP" w:hAnsi="Noto Sans JP"/>
          <w:b/>
          <w:bCs/>
          <w:color w:val="1F3864"/>
          <w:sz w:val="44"/>
          <w:szCs w:val="44"/>
        </w:rPr>
        <w:t>アルブミン製剤 適正使用指針</w:t>
      </w:r>
    </w:p>
    <w:p w14:paraId="1D0244FB" w14:textId="77777777" w:rsidR="001C7883" w:rsidRPr="00DE1AF5" w:rsidRDefault="002E4D15" w:rsidP="00DE1AF5">
      <w:pPr>
        <w:spacing w:after="800"/>
        <w:jc w:val="center"/>
        <w:rPr>
          <w:rFonts w:ascii="Noto Sans JP" w:eastAsia="Noto Sans JP" w:hAnsi="Noto Sans JP"/>
        </w:rPr>
      </w:pPr>
      <w:r w:rsidRPr="00DE1AF5">
        <w:rPr>
          <w:rFonts w:ascii="Noto Sans JP" w:eastAsia="Noto Sans JP" w:hAnsi="Noto Sans JP"/>
          <w:color w:val="2E5395"/>
          <w:sz w:val="26"/>
          <w:szCs w:val="26"/>
        </w:rPr>
        <w:t>─ 開始基準・中止基準・代替輸液の選択に関する指針 ─</w:t>
      </w:r>
    </w:p>
    <w:p w14:paraId="7B1D2028" w14:textId="77777777" w:rsidR="001C7883" w:rsidRPr="00DE1AF5" w:rsidRDefault="002E4D15" w:rsidP="00DE1AF5">
      <w:pPr>
        <w:spacing w:after="120"/>
        <w:jc w:val="center"/>
        <w:rPr>
          <w:rFonts w:ascii="Noto Sans JP" w:eastAsia="Noto Sans JP" w:hAnsi="Noto Sans JP"/>
        </w:rPr>
      </w:pPr>
      <w:r w:rsidRPr="00DE1AF5">
        <w:rPr>
          <w:rFonts w:ascii="Noto Sans JP" w:eastAsia="Noto Sans JP" w:hAnsi="Noto Sans JP"/>
          <w:color w:val="595959"/>
          <w:sz w:val="22"/>
          <w:szCs w:val="22"/>
        </w:rPr>
        <w:t>第1版 ─ JSTMCT改訂第3版 CQ1〜13準拠</w:t>
      </w:r>
    </w:p>
    <w:p w14:paraId="2767899B" w14:textId="25907B0B" w:rsidR="001C7883" w:rsidRPr="00DE1AF5" w:rsidRDefault="002E4D15" w:rsidP="00DE1AF5">
      <w:pPr>
        <w:spacing w:after="120"/>
        <w:jc w:val="center"/>
        <w:rPr>
          <w:rFonts w:ascii="Noto Sans JP" w:eastAsia="Noto Sans JP" w:hAnsi="Noto Sans JP"/>
        </w:rPr>
      </w:pPr>
      <w:r w:rsidRPr="00DE1AF5">
        <w:rPr>
          <w:rFonts w:ascii="Noto Sans JP" w:eastAsia="Noto Sans JP" w:hAnsi="Noto Sans JP"/>
          <w:color w:val="595959"/>
          <w:sz w:val="22"/>
          <w:szCs w:val="22"/>
        </w:rPr>
        <w:t>策定：長崎県合同輸血療法委員会</w:t>
      </w:r>
    </w:p>
    <w:p w14:paraId="4A16C883" w14:textId="70DCCFE6" w:rsidR="001C7883" w:rsidRPr="00DE1AF5" w:rsidRDefault="002E4D15" w:rsidP="00DE1AF5">
      <w:pPr>
        <w:spacing w:after="2000"/>
        <w:jc w:val="center"/>
        <w:rPr>
          <w:rFonts w:ascii="Noto Sans JP" w:eastAsia="Noto Sans JP" w:hAnsi="Noto Sans JP"/>
        </w:rPr>
      </w:pPr>
      <w:r w:rsidRPr="00DE1AF5">
        <w:rPr>
          <w:rFonts w:ascii="Noto Sans JP" w:eastAsia="Noto Sans JP" w:hAnsi="Noto Sans JP"/>
          <w:color w:val="595959"/>
          <w:sz w:val="22"/>
          <w:szCs w:val="22"/>
        </w:rPr>
        <w:t>発行日：令和</w:t>
      </w:r>
      <w:r w:rsidR="00D43513">
        <w:rPr>
          <w:rFonts w:ascii="Noto Sans JP" w:eastAsia="Noto Sans JP" w:hAnsi="Noto Sans JP" w:hint="eastAsia"/>
          <w:color w:val="595959"/>
          <w:sz w:val="22"/>
          <w:szCs w:val="22"/>
        </w:rPr>
        <w:t>8</w:t>
      </w:r>
      <w:r w:rsidRPr="00DE1AF5">
        <w:rPr>
          <w:rFonts w:ascii="Noto Sans JP" w:eastAsia="Noto Sans JP" w:hAnsi="Noto Sans JP"/>
          <w:color w:val="595959"/>
          <w:sz w:val="22"/>
          <w:szCs w:val="22"/>
        </w:rPr>
        <w:t>年</w:t>
      </w:r>
      <w:r w:rsidR="00D43513">
        <w:rPr>
          <w:rFonts w:ascii="Noto Sans JP" w:eastAsia="Noto Sans JP" w:hAnsi="Noto Sans JP" w:hint="eastAsia"/>
          <w:color w:val="595959"/>
          <w:sz w:val="22"/>
          <w:szCs w:val="22"/>
        </w:rPr>
        <w:t>10</w:t>
      </w:r>
      <w:r w:rsidRPr="00DE1AF5">
        <w:rPr>
          <w:rFonts w:ascii="Noto Sans JP" w:eastAsia="Noto Sans JP" w:hAnsi="Noto Sans JP"/>
          <w:color w:val="595959"/>
          <w:sz w:val="22"/>
          <w:szCs w:val="22"/>
        </w:rPr>
        <w:t xml:space="preserve">月　</w:t>
      </w:r>
    </w:p>
    <w:p w14:paraId="6717352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rPr>
        <w:br w:type="page"/>
      </w:r>
    </w:p>
    <w:p w14:paraId="006045FD"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lastRenderedPageBreak/>
        <w:t>1. 策定の背景と目的</w:t>
      </w:r>
    </w:p>
    <w:p w14:paraId="08699C55" w14:textId="71D6E86E"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b/>
          <w:bCs/>
        </w:rPr>
        <w:t>アルブミン製剤は血漿分画製剤であり、供給には限りがある希少な医療資源である。</w:t>
      </w:r>
      <w:r w:rsidR="00DE1AF5">
        <w:rPr>
          <w:rFonts w:ascii="Noto Sans JP" w:eastAsia="Noto Sans JP" w:hAnsi="Noto Sans JP" w:hint="eastAsia"/>
        </w:rPr>
        <w:t>長崎県合同輸血療法委員会（以下、</w:t>
      </w:r>
      <w:r w:rsidRPr="00DE1AF5">
        <w:rPr>
          <w:rFonts w:ascii="Noto Sans JP" w:eastAsia="Noto Sans JP" w:hAnsi="Noto Sans JP"/>
        </w:rPr>
        <w:t>当委員会</w:t>
      </w:r>
      <w:r w:rsidR="00DE1AF5">
        <w:rPr>
          <w:rFonts w:ascii="Noto Sans JP" w:eastAsia="Noto Sans JP" w:hAnsi="Noto Sans JP" w:hint="eastAsia"/>
        </w:rPr>
        <w:t>）</w:t>
      </w:r>
      <w:r w:rsidRPr="00DE1AF5">
        <w:rPr>
          <w:rFonts w:ascii="Noto Sans JP" w:eastAsia="Noto Sans JP" w:hAnsi="Noto Sans JP"/>
        </w:rPr>
        <w:t>による2025年度の調査により、適正使用ガイドラインそのものは一定程度普及している一方で、①どのような場合に投与を中止すべきかという「中止基準」、②晶質液など代替手段をどのように使い分けるかという考え方について、明文化された院内基準が存在せず、個々の医師の経験的判断に委ねられている実態が明らかとなった。</w:t>
      </w:r>
    </w:p>
    <w:p w14:paraId="569F1CCE"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この状況は、施設内・診療科間での使用実態のばらつき、不必要な投与の継続、コストおよび供給上の非効率を招く要因となりうる。本指針は、開始基準に加えて中止基準および代替輸液選択の考え方を明文化し、医師個人の経験に依存しない、標準化された意思決定プロセスを各医療機関の院内に定着させることを目的とする。</w:t>
      </w:r>
    </w:p>
    <w:p w14:paraId="3120EE55" w14:textId="5524254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1.1 本</w:t>
      </w:r>
      <w:r w:rsidR="00BF67A1">
        <w:rPr>
          <w:rFonts w:ascii="Noto Sans JP" w:eastAsia="Noto Sans JP" w:hAnsi="Noto Sans JP" w:hint="eastAsia"/>
        </w:rPr>
        <w:t>指針の</w:t>
      </w:r>
      <w:r w:rsidRPr="00DE1AF5">
        <w:rPr>
          <w:rFonts w:ascii="Noto Sans JP" w:eastAsia="Noto Sans JP" w:hAnsi="Noto Sans JP"/>
        </w:rPr>
        <w:t>位置づけ</w:t>
      </w:r>
    </w:p>
    <w:p w14:paraId="576405D3" w14:textId="153DADCE" w:rsidR="001C7883" w:rsidRPr="00BF67A1" w:rsidRDefault="002E4D15" w:rsidP="00DE1AF5">
      <w:pPr>
        <w:pStyle w:val="a4"/>
        <w:numPr>
          <w:ilvl w:val="0"/>
          <w:numId w:val="2"/>
        </w:numPr>
        <w:spacing w:after="80" w:line="280" w:lineRule="auto"/>
        <w:jc w:val="both"/>
        <w:rPr>
          <w:rFonts w:ascii="Noto Sans JP" w:eastAsia="Noto Sans JP" w:hAnsi="Noto Sans JP"/>
        </w:rPr>
      </w:pPr>
      <w:r w:rsidRPr="00BF67A1">
        <w:rPr>
          <w:rFonts w:ascii="Noto Sans JP" w:eastAsia="Noto Sans JP" w:hAnsi="Noto Sans JP"/>
        </w:rPr>
        <w:t>本指針は、日本輸血・細胞治療学会等が公表する「アルブミン製剤の使用指針」の内容を踏まえ、県下の各医療機関における運用を具体化したものであり、</w:t>
      </w:r>
      <w:r w:rsidR="00DE1AF5" w:rsidRPr="00BF67A1">
        <w:rPr>
          <w:rFonts w:ascii="Noto Sans JP" w:eastAsia="Noto Sans JP" w:hAnsi="Noto Sans JP" w:hint="eastAsia"/>
        </w:rPr>
        <w:t>当</w:t>
      </w:r>
      <w:r w:rsidRPr="00BF67A1">
        <w:rPr>
          <w:rFonts w:ascii="Noto Sans JP" w:eastAsia="Noto Sans JP" w:hAnsi="Noto Sans JP"/>
        </w:rPr>
        <w:t>委員会での協議を経て合意されたものである。利用は各施設の任意とする。</w:t>
      </w:r>
    </w:p>
    <w:p w14:paraId="33404C6A" w14:textId="77777777" w:rsidR="001C7883" w:rsidRPr="00BF67A1" w:rsidRDefault="002E4D15" w:rsidP="00DE1AF5">
      <w:pPr>
        <w:pStyle w:val="a4"/>
        <w:numPr>
          <w:ilvl w:val="0"/>
          <w:numId w:val="2"/>
        </w:numPr>
        <w:spacing w:after="80" w:line="280" w:lineRule="auto"/>
        <w:jc w:val="both"/>
        <w:rPr>
          <w:rFonts w:ascii="Noto Sans JP" w:eastAsia="Noto Sans JP" w:hAnsi="Noto Sans JP"/>
        </w:rPr>
      </w:pPr>
      <w:r w:rsidRPr="00BF67A1">
        <w:rPr>
          <w:rFonts w:ascii="Noto Sans JP" w:eastAsia="Noto Sans JP" w:hAnsi="Noto Sans JP"/>
        </w:rPr>
        <w:t>各施設の既存の院内適正使用ガイドラインを置き換えるものではなく、特に手薄であった「中止基準」「代替薬選択」の部分を補完・具体化する位置づけとする。</w:t>
      </w:r>
    </w:p>
    <w:p w14:paraId="44C05367"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BF67A1">
        <w:rPr>
          <w:rFonts w:ascii="Noto Sans JP" w:eastAsia="Noto Sans JP" w:hAnsi="Noto Sans JP"/>
        </w:rPr>
        <w:t>最終的な投与判断は主治医が行うが、その判断根拠を診療録に明記することを本指針</w:t>
      </w:r>
      <w:r w:rsidRPr="00DE1AF5">
        <w:rPr>
          <w:rFonts w:ascii="Noto Sans JP" w:eastAsia="Noto Sans JP" w:hAnsi="Noto Sans JP"/>
        </w:rPr>
        <w:t>の運用要件とする。</w:t>
      </w:r>
    </w:p>
    <w:p w14:paraId="214C688B"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1.2 適用範囲</w:t>
      </w:r>
    </w:p>
    <w:p w14:paraId="0B5352F9" w14:textId="77777777" w:rsidR="001C7883" w:rsidRPr="00DE1AF5" w:rsidRDefault="002E4D15" w:rsidP="00DE1AF5">
      <w:pPr>
        <w:spacing w:after="140" w:line="300" w:lineRule="auto"/>
        <w:jc w:val="both"/>
        <w:rPr>
          <w:rFonts w:ascii="Noto Sans JP" w:eastAsia="Noto Sans JP" w:hAnsi="Noto Sans JP"/>
        </w:rPr>
      </w:pPr>
      <w:r w:rsidRPr="00BF67A1">
        <w:rPr>
          <w:rFonts w:ascii="Noto Sans JP" w:eastAsia="Noto Sans JP" w:hAnsi="Noto Sans JP"/>
        </w:rPr>
        <w:t>本指針を利用する医療機関</w:t>
      </w:r>
      <w:r w:rsidRPr="00DE1AF5">
        <w:rPr>
          <w:rFonts w:ascii="Noto Sans JP" w:eastAsia="Noto Sans JP" w:hAnsi="Noto Sans JP"/>
        </w:rPr>
        <w:t>において、入院・外来を問わずアルブミン製剤（等張製剤・高張製剤）の投与を検討するすべての診療科を対象とする。小児科領域および特殊病態（重症肝不全に対する体外循環療法時の使用等）については別途専門科の判断を優先する。</w:t>
      </w:r>
    </w:p>
    <w:p w14:paraId="16A2CFF5"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1.3 主たる根拠ガイドライン</w:t>
      </w:r>
    </w:p>
    <w:p w14:paraId="7F10B800"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本</w:t>
      </w:r>
      <w:r w:rsidRPr="00BF67A1">
        <w:rPr>
          <w:rFonts w:ascii="Noto Sans JP" w:eastAsia="Noto Sans JP" w:hAnsi="Noto Sans JP"/>
        </w:rPr>
        <w:t>指針の病態</w:t>
      </w:r>
      <w:r w:rsidRPr="00DE1AF5">
        <w:rPr>
          <w:rFonts w:ascii="Noto Sans JP" w:eastAsia="Noto Sans JP" w:hAnsi="Noto Sans JP"/>
        </w:rPr>
        <w:t>別適応基準（4.1）は、日本輸血・細胞治療学会 ガイドライン委員会 アルブミン製剤使用ガイドライン小委員会が作成した「科学的根拠に基づいたアルブミン製剤の使用ガイドライン（改訂第3版）」（日本輸血細胞治療学会誌 第70巻 第3号 406〜430頁、2024年）の13個のClinical Question（CQ）とその推奨・エビデンスレベルを主たる根拠とし、実際の運用に必要な範囲で国際ガイドライン（EASL、AASLD、Surviving Sepsis Campaign等）およびメタアナリシス・系統的レビューを補足的に引用した。</w:t>
      </w:r>
    </w:p>
    <w:p w14:paraId="3F6FDB93"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lastRenderedPageBreak/>
        <w:t>推奨の強さ・エビデンスレベルの表記は、同ガイドラインに準じ「Minds診療ガイドライン作成マニュアル2020 ver.3.0」の方式（推奨度：1＝強い推奨／2＝弱い推奨、エビデンスレベル：A＝強い／B＝中程度／C＝弱い／D＝非常に弱い）を採用する。</w:t>
      </w:r>
    </w:p>
    <w:p w14:paraId="41476EBE"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なお、厚生労働省「血液製剤の使用指針」および「輸血療法の実施に関する指針」は、日本輸血・細胞治療学会が作成した「輸血療法実践ガイド」（日本輸血細胞治療学会誌 第72巻 第3号 521〜570頁、2026年）に統合された。同ガイドのIII章4節「アルブミン製剤」（549〜550頁）は、上記の改訂第3版CQ1〜13の内容をそのまま要約する形で構成されており、本指針の記載内容と齟齬はない。血漿交換におけるFFP代替（4.5節）についても、同ガイドが引用する「科学的根拠に基づいた新鮮凍結血漿の使用ガイドライン（改訂第3版）」（同誌72巻3号571〜592頁、2026年）の推奨と整合している。今後の改訂に際しては、個別のCQガイドラインに加え、この統合ガイドの記載も一次参照先とする。</w:t>
      </w:r>
    </w:p>
    <w:p w14:paraId="6C704EC8"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t>2. 用語の定義</w:t>
      </w:r>
    </w:p>
    <w:p w14:paraId="2B8B2DBE" w14:textId="3B262914"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等張アルブミン製剤：濃度4</w:t>
      </w:r>
      <w:r w:rsidR="00DE1AF5">
        <w:rPr>
          <w:rFonts w:ascii="Noto Sans JP" w:eastAsia="Noto Sans JP" w:hAnsi="Noto Sans JP" w:hint="eastAsia"/>
        </w:rPr>
        <w:t>.4</w:t>
      </w:r>
      <w:r w:rsidRPr="00DE1AF5">
        <w:rPr>
          <w:rFonts w:ascii="Noto Sans JP" w:eastAsia="Noto Sans JP" w:hAnsi="Noto Sans JP"/>
        </w:rPr>
        <w:t>〜5%の製剤。循環血漿量の補充を主目的とする。</w:t>
      </w:r>
    </w:p>
    <w:p w14:paraId="156698D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高張アルブミン製剤：濃度20〜25%の製剤。膠質浸透圧の是正を主目的とし、水分制限を要する病態で選択される。</w:t>
      </w:r>
    </w:p>
    <w:p w14:paraId="1C01EFCF"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Time-limited trial：投与継続の可否を、あらかじめ定めた評価時点・評価指標に基づき再判定する運用手法。</w:t>
      </w:r>
    </w:p>
    <w:p w14:paraId="1159962B"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不適正使用：血清アルブミン値の数値是正のみを目的とした投与、代替手段（晶質液・原疾患治療等）で対応可能な病態への投与、中止基準に該当した後の漫然投与を指す。</w:t>
      </w:r>
    </w:p>
    <w:p w14:paraId="34E2AB6A"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SBP：特発性細菌性腹膜炎（Spontaneous Bacterial Peritonitis）。HRS-AKI：肝硬変に伴う急性腎障害（Hepatorenal Syndrome-Acute Kidney Injury）。</w:t>
      </w:r>
    </w:p>
    <w:p w14:paraId="76D6D965"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2.1 等張・高張製剤の使い分け（作用機序）</w:t>
      </w:r>
    </w:p>
    <w:p w14:paraId="2B5EFA5E" w14:textId="7EFBDB33"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等張製剤（4</w:t>
      </w:r>
      <w:r w:rsidR="00DE1AF5">
        <w:rPr>
          <w:rFonts w:ascii="Noto Sans JP" w:eastAsia="Noto Sans JP" w:hAnsi="Noto Sans JP" w:hint="eastAsia"/>
        </w:rPr>
        <w:t>.4</w:t>
      </w:r>
      <w:r w:rsidRPr="00DE1AF5">
        <w:rPr>
          <w:rFonts w:ascii="Noto Sans JP" w:eastAsia="Noto Sans JP" w:hAnsi="Noto Sans JP"/>
        </w:rPr>
        <w:t>〜5%）は血漿とほぼ等しい膠質浸透圧を持ち、投与量とほぼ同量が血管内に留まって循環血漿量を直接補充する「量を補う」製剤である。高張製剤（20〜25%）は血漿より高い膠質浸透圧を持ち、投与量以上に血管外（組織間質・腹腔内等）の水分を血管内へ引き込む「圧を上げて水を引く」製剤であり、少量で強い効果が得られる。</w:t>
      </w:r>
      <w:r w:rsidRPr="00DE1AF5">
        <w:rPr>
          <w:rFonts w:ascii="Noto Sans JP" w:eastAsia="Noto Sans JP" w:hAnsi="Noto Sans JP"/>
          <w:b/>
          <w:bCs/>
        </w:rPr>
        <w:t>原則として、腹水・浮腫など水分制限下で膠質浸透圧の是正自体を目的とする病態（CQ3・CQ4・CQ8等）では高張製剤を、循環血漿量の直接補充が目的となる病態（CQ1・CQ2等）では等張製剤を用いる</w:t>
      </w:r>
      <w:r w:rsidRPr="00DE1AF5">
        <w:rPr>
          <w:rFonts w:ascii="Noto Sans JP" w:eastAsia="Noto Sans JP" w:hAnsi="Noto Sans JP"/>
        </w:rPr>
        <w:t>が、個々のCQで実際に評価された濃度に基づき表2で区分している。</w:t>
      </w:r>
    </w:p>
    <w:p w14:paraId="75B7B998"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高張製剤を使用する際は、以下の点に留意する。</w:t>
      </w:r>
    </w:p>
    <w:p w14:paraId="2457E712"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lastRenderedPageBreak/>
        <w:t>急速な血管内容量増加により、心不全・腎不全患者では肺水腫・TACOのリスクが高まる。</w:t>
      </w:r>
    </w:p>
    <w:p w14:paraId="5B4851EA"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投与速度・量は病態に応じて調整し、投与後は循環動態・呼吸状態を観察する。</w:t>
      </w:r>
    </w:p>
    <w:p w14:paraId="007B5694"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「高張＝効果が強い」ではなく、目的（浸透圧是正か容量補充か）に応じた選択が本質である。</w:t>
      </w:r>
    </w:p>
    <w:p w14:paraId="16B513B5"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t>3. 適正使用の基本原則</w:t>
      </w:r>
    </w:p>
    <w:p w14:paraId="3BC1B31D"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b/>
          <w:bCs/>
        </w:rPr>
        <w:t>アルブミン製剤は「血清アルブミン値を上げるための薬剤」ではなく「特定の病態における循環血漿量・膠質浸透圧を是正するための血液製剤」である</w:t>
      </w:r>
      <w:r w:rsidRPr="00DE1AF5">
        <w:rPr>
          <w:rFonts w:ascii="Noto Sans JP" w:eastAsia="Noto Sans JP" w:hAnsi="Noto Sans JP"/>
        </w:rPr>
        <w:t>と位置づける。</w:t>
      </w:r>
    </w:p>
    <w:p w14:paraId="110132E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循環血液量減少性ショック（CQ1）や敗血症（CQ2）など、輸液蘇生の手段として晶質液とアルブミン製剤が選択肢となる病態では、晶質液を第一選択とし、アルブミン製剤は大量の晶質液を要する場合等に限り補助的に検討する。</w:t>
      </w:r>
    </w:p>
    <w:p w14:paraId="760A44C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一方、肝硬変の腹水管理・特発性細菌性腹膜炎・肝腎症候群（CQ3）など、膠質浸透圧の是正そのものが治療目的となる病態では、晶質液はアルブミン製剤の代替にならない。この場合はアルブミン製剤の使用自体が本質的な適応であり、表2（4.1）の病態別基準に従って判断する。</w:t>
      </w:r>
    </w:p>
    <w:p w14:paraId="02FD21A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投与開始時には、目標値・評価時点・中止条件をあらかじめ診療録に記載する（下記4.2参照)。</w:t>
      </w:r>
    </w:p>
    <w:p w14:paraId="440075F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投与継続の要否は、24〜48時間ごとに主治医以外（病棟薬剤師・輸血部門等）を含めた形で定期的に再評価する。</w:t>
      </w:r>
    </w:p>
    <w:p w14:paraId="60BA08A1" w14:textId="77777777" w:rsidR="001C7883" w:rsidRPr="00DE1AF5" w:rsidRDefault="002E4D15" w:rsidP="00DE1AF5">
      <w:pPr>
        <w:spacing w:after="160" w:line="280" w:lineRule="auto"/>
        <w:jc w:val="both"/>
        <w:rPr>
          <w:rFonts w:ascii="Noto Sans JP" w:eastAsia="Noto Sans JP" w:hAnsi="Noto Sans JP"/>
        </w:rPr>
      </w:pPr>
      <w:r w:rsidRPr="00DE1AF5">
        <w:rPr>
          <w:rFonts w:ascii="Noto Sans JP" w:eastAsia="Noto Sans JP" w:hAnsi="Noto Sans JP"/>
          <w:i/>
          <w:iCs/>
          <w:color w:val="595959"/>
          <w:sz w:val="20"/>
          <w:szCs w:val="20"/>
        </w:rPr>
        <w:t>※ 各項目のエビデンスレベルは、対象となった研究デザイン・対象集団によって規定される。個々の患者への外挿には臨床的判断を要する。</w:t>
      </w:r>
    </w:p>
    <w:p w14:paraId="5BE9E40D"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t>4. 投与の開始基準・中止基準</w:t>
      </w:r>
    </w:p>
    <w:p w14:paraId="36DE9F37"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4.1 病態別の適応基準</w:t>
      </w:r>
    </w:p>
    <w:p w14:paraId="158EC851"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代表的な病態ごとの推奨・非推奨とその根拠文献・エビデンスレベルを以下に示す。個別の重症度・合併症により適応は変動しうるため、判断に迷う場合は輸血部門または感染症・肝臓内科等の専門診療科にコンサルトすること。</w:t>
      </w:r>
    </w:p>
    <w:p w14:paraId="21A77BE8"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等張・高張製剤の使い分けは、JSTMCTガイドラインの推奨マトリクス（表13）における製剤区分に準拠し、下表の「製剤選択」欄に示した。原則として、腹水・浮腫など水分制限下で膠質浸透圧の是正そのものを目的とする病態では高張製剤（20〜25%）を、循環血液量の直接補充が目的となる病態では等張製剤（4〜5%）を用いるが、個々のCQで実際に評価された濃度に基づいて区分している点に留意する。</w:t>
      </w:r>
    </w:p>
    <w:p w14:paraId="31493AC4"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なお、</w:t>
      </w:r>
      <w:r w:rsidRPr="00DE1AF5">
        <w:rPr>
          <w:rFonts w:ascii="Noto Sans JP" w:eastAsia="Noto Sans JP" w:hAnsi="Noto Sans JP"/>
          <w:b/>
          <w:bCs/>
        </w:rPr>
        <w:t>下表「推奨される使用」欄の多くはグレード2（弱い推奨）であり、限定的な状況下での使用を提案するにとどまる。強い推奨（グレード1）に該当するのは、腹水を伴う肝硬変（CQ3）と治療的血</w:t>
      </w:r>
      <w:r w:rsidRPr="00DE1AF5">
        <w:rPr>
          <w:rFonts w:ascii="Noto Sans JP" w:eastAsia="Noto Sans JP" w:hAnsi="Noto Sans JP"/>
          <w:b/>
          <w:bCs/>
        </w:rPr>
        <w:lastRenderedPageBreak/>
        <w:t>漿交換療法（CQ6）のみである点に注意する。</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150"/>
        <w:gridCol w:w="2200"/>
        <w:gridCol w:w="1750"/>
        <w:gridCol w:w="2600"/>
      </w:tblGrid>
      <w:tr w:rsidR="001C7883" w:rsidRPr="00DE1AF5" w14:paraId="04E99A2D" w14:textId="77777777">
        <w:trPr>
          <w:tblHeader/>
        </w:trPr>
        <w:tc>
          <w:tcPr>
            <w:tcW w:w="1650" w:type="dxa"/>
            <w:shd w:val="clear" w:color="auto" w:fill="1F3864"/>
            <w:tcMar>
              <w:top w:w="80" w:type="dxa"/>
              <w:left w:w="90" w:type="dxa"/>
              <w:bottom w:w="80" w:type="dxa"/>
              <w:right w:w="90" w:type="dxa"/>
            </w:tcMar>
          </w:tcPr>
          <w:p w14:paraId="61602F9E"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病態（対応CQ）</w:t>
            </w:r>
          </w:p>
        </w:tc>
        <w:tc>
          <w:tcPr>
            <w:tcW w:w="1150" w:type="dxa"/>
            <w:shd w:val="clear" w:color="auto" w:fill="1F3864"/>
            <w:tcMar>
              <w:top w:w="80" w:type="dxa"/>
              <w:left w:w="90" w:type="dxa"/>
              <w:bottom w:w="80" w:type="dxa"/>
              <w:right w:w="90" w:type="dxa"/>
            </w:tcMar>
          </w:tcPr>
          <w:p w14:paraId="420FA600"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製剤選択</w:t>
            </w:r>
            <w:r w:rsidRPr="00DE1AF5">
              <w:rPr>
                <w:rFonts w:ascii="Noto Sans JP" w:eastAsia="Noto Sans JP" w:hAnsi="Noto Sans JP"/>
                <w:b/>
                <w:bCs/>
                <w:color w:val="FFFFFF"/>
                <w:sz w:val="19"/>
                <w:szCs w:val="19"/>
              </w:rPr>
              <w:br/>
              <w:t>（等張/高張）</w:t>
            </w:r>
          </w:p>
        </w:tc>
        <w:tc>
          <w:tcPr>
            <w:tcW w:w="2200" w:type="dxa"/>
            <w:shd w:val="clear" w:color="auto" w:fill="1F3864"/>
            <w:tcMar>
              <w:top w:w="80" w:type="dxa"/>
              <w:left w:w="90" w:type="dxa"/>
              <w:bottom w:w="80" w:type="dxa"/>
              <w:right w:w="90" w:type="dxa"/>
            </w:tcMar>
          </w:tcPr>
          <w:p w14:paraId="6D603386"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推奨される使用</w:t>
            </w:r>
          </w:p>
        </w:tc>
        <w:tc>
          <w:tcPr>
            <w:tcW w:w="1750" w:type="dxa"/>
            <w:shd w:val="clear" w:color="auto" w:fill="1F3864"/>
            <w:tcMar>
              <w:top w:w="80" w:type="dxa"/>
              <w:left w:w="90" w:type="dxa"/>
              <w:bottom w:w="80" w:type="dxa"/>
              <w:right w:w="90" w:type="dxa"/>
            </w:tcMar>
          </w:tcPr>
          <w:p w14:paraId="1EA5A09B"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推奨されない使用・注意点</w:t>
            </w:r>
          </w:p>
        </w:tc>
        <w:tc>
          <w:tcPr>
            <w:tcW w:w="2600" w:type="dxa"/>
            <w:shd w:val="clear" w:color="auto" w:fill="1F3864"/>
            <w:tcMar>
              <w:top w:w="80" w:type="dxa"/>
              <w:left w:w="90" w:type="dxa"/>
              <w:bottom w:w="80" w:type="dxa"/>
              <w:right w:w="90" w:type="dxa"/>
            </w:tcMar>
          </w:tcPr>
          <w:p w14:paraId="530F16C6"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グレード・根拠文献</w:t>
            </w:r>
          </w:p>
        </w:tc>
      </w:tr>
      <w:tr w:rsidR="001C7883" w:rsidRPr="00DE1AF5" w14:paraId="144664AB" w14:textId="77777777">
        <w:tc>
          <w:tcPr>
            <w:tcW w:w="1650" w:type="dxa"/>
            <w:shd w:val="clear" w:color="auto" w:fill="DCE6F1"/>
            <w:tcMar>
              <w:top w:w="80" w:type="dxa"/>
              <w:left w:w="90" w:type="dxa"/>
              <w:bottom w:w="80" w:type="dxa"/>
              <w:right w:w="90" w:type="dxa"/>
            </w:tcMar>
          </w:tcPr>
          <w:p w14:paraId="10CC679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循環血液量減少性ショック（CQ1）</w:t>
            </w:r>
          </w:p>
        </w:tc>
        <w:tc>
          <w:tcPr>
            <w:tcW w:w="1150" w:type="dxa"/>
            <w:tcMar>
              <w:top w:w="80" w:type="dxa"/>
              <w:left w:w="90" w:type="dxa"/>
              <w:bottom w:w="80" w:type="dxa"/>
              <w:right w:w="90" w:type="dxa"/>
            </w:tcMar>
          </w:tcPr>
          <w:p w14:paraId="0CAE20D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等張</w:t>
            </w:r>
          </w:p>
        </w:tc>
        <w:tc>
          <w:tcPr>
            <w:tcW w:w="2200" w:type="dxa"/>
            <w:tcMar>
              <w:top w:w="80" w:type="dxa"/>
              <w:left w:w="90" w:type="dxa"/>
              <w:bottom w:w="80" w:type="dxa"/>
              <w:right w:w="90" w:type="dxa"/>
            </w:tcMar>
          </w:tcPr>
          <w:p w14:paraId="0F2F631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病態を考慮した上での膠質液（アルブミン製剤またはHES）の使用は提案される</w:t>
            </w:r>
          </w:p>
        </w:tc>
        <w:tc>
          <w:tcPr>
            <w:tcW w:w="1750" w:type="dxa"/>
            <w:tcMar>
              <w:top w:w="80" w:type="dxa"/>
              <w:left w:w="90" w:type="dxa"/>
              <w:bottom w:w="80" w:type="dxa"/>
              <w:right w:w="90" w:type="dxa"/>
            </w:tcMar>
          </w:tcPr>
          <w:p w14:paraId="27F8B0D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集中治療を要する重症患者での単純な血管内容量補充目的の等張アルブミン使用は推奨されない</w:t>
            </w:r>
          </w:p>
        </w:tc>
        <w:tc>
          <w:tcPr>
            <w:tcW w:w="2600" w:type="dxa"/>
            <w:tcMar>
              <w:top w:w="80" w:type="dxa"/>
              <w:left w:w="90" w:type="dxa"/>
              <w:bottom w:w="80" w:type="dxa"/>
              <w:right w:w="90" w:type="dxa"/>
            </w:tcMar>
          </w:tcPr>
          <w:p w14:paraId="0AA5C36A"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推奨される使用：2B／推奨されない使用：1A</w:t>
            </w:r>
            <w:r w:rsidRPr="00DE1AF5">
              <w:rPr>
                <w:rFonts w:ascii="Noto Sans JP" w:eastAsia="Noto Sans JP" w:hAnsi="Noto Sans JP"/>
                <w:sz w:val="19"/>
                <w:szCs w:val="19"/>
              </w:rPr>
              <w:br/>
              <w:t>JSTMCT 2024 CQ1</w:t>
            </w:r>
            <w:r w:rsidRPr="00DE1AF5">
              <w:rPr>
                <w:rFonts w:ascii="Noto Sans JP" w:eastAsia="Noto Sans JP" w:hAnsi="Noto Sans JP"/>
                <w:sz w:val="19"/>
                <w:szCs w:val="19"/>
              </w:rPr>
              <w:br/>
              <w:t>Lewis SR, et al. Cochrane Database Syst Rev. 2018;8:CD000567</w:t>
            </w:r>
            <w:r w:rsidRPr="00DE1AF5">
              <w:rPr>
                <w:rFonts w:ascii="Noto Sans JP" w:eastAsia="Noto Sans JP" w:hAnsi="Noto Sans JP"/>
                <w:sz w:val="19"/>
                <w:szCs w:val="19"/>
              </w:rPr>
              <w:br/>
              <w:t xml:space="preserve">SAFE: </w:t>
            </w:r>
            <w:proofErr w:type="spellStart"/>
            <w:r w:rsidRPr="00DE1AF5">
              <w:rPr>
                <w:rFonts w:ascii="Noto Sans JP" w:eastAsia="Noto Sans JP" w:hAnsi="Noto Sans JP"/>
                <w:sz w:val="19"/>
                <w:szCs w:val="19"/>
              </w:rPr>
              <w:t>Finfer</w:t>
            </w:r>
            <w:proofErr w:type="spellEnd"/>
            <w:r w:rsidRPr="00DE1AF5">
              <w:rPr>
                <w:rFonts w:ascii="Noto Sans JP" w:eastAsia="Noto Sans JP" w:hAnsi="Noto Sans JP"/>
                <w:sz w:val="19"/>
                <w:szCs w:val="19"/>
              </w:rPr>
              <w:t xml:space="preserve"> S, et al. N Engl J Med. 2004;350:2247-2256</w:t>
            </w:r>
          </w:p>
        </w:tc>
      </w:tr>
      <w:tr w:rsidR="001C7883" w:rsidRPr="00DE1AF5" w14:paraId="76CB7BDB" w14:textId="77777777">
        <w:tc>
          <w:tcPr>
            <w:tcW w:w="1650" w:type="dxa"/>
            <w:shd w:val="clear" w:color="auto" w:fill="DCE6F1"/>
            <w:tcMar>
              <w:top w:w="80" w:type="dxa"/>
              <w:left w:w="90" w:type="dxa"/>
              <w:bottom w:w="80" w:type="dxa"/>
              <w:right w:w="90" w:type="dxa"/>
            </w:tcMar>
          </w:tcPr>
          <w:p w14:paraId="6B90BF9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敗血症・敗血症性ショック（CQ2）</w:t>
            </w:r>
          </w:p>
        </w:tc>
        <w:tc>
          <w:tcPr>
            <w:tcW w:w="1150" w:type="dxa"/>
            <w:tcMar>
              <w:top w:w="80" w:type="dxa"/>
              <w:left w:w="90" w:type="dxa"/>
              <w:bottom w:w="80" w:type="dxa"/>
              <w:right w:w="90" w:type="dxa"/>
            </w:tcMar>
          </w:tcPr>
          <w:p w14:paraId="2B1240D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等張</w:t>
            </w:r>
          </w:p>
        </w:tc>
        <w:tc>
          <w:tcPr>
            <w:tcW w:w="2200" w:type="dxa"/>
            <w:tcMar>
              <w:top w:w="80" w:type="dxa"/>
              <w:left w:w="90" w:type="dxa"/>
              <w:bottom w:w="80" w:type="dxa"/>
              <w:right w:w="90" w:type="dxa"/>
            </w:tcMar>
          </w:tcPr>
          <w:p w14:paraId="764F7629"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初期治療は晶質液を用い、大量の晶質液を要する場合に限り循環動態安定化目的での使用を提案</w:t>
            </w:r>
          </w:p>
        </w:tc>
        <w:tc>
          <w:tcPr>
            <w:tcW w:w="1750" w:type="dxa"/>
            <w:tcMar>
              <w:top w:w="80" w:type="dxa"/>
              <w:left w:w="90" w:type="dxa"/>
              <w:bottom w:w="80" w:type="dxa"/>
              <w:right w:w="90" w:type="dxa"/>
            </w:tcMar>
          </w:tcPr>
          <w:p w14:paraId="61750A37"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等張アルブミンは晶質液と比べ死亡率改善効果なし。初期治療の第一選択とはしない</w:t>
            </w:r>
          </w:p>
        </w:tc>
        <w:tc>
          <w:tcPr>
            <w:tcW w:w="2600" w:type="dxa"/>
            <w:tcMar>
              <w:top w:w="80" w:type="dxa"/>
              <w:left w:w="90" w:type="dxa"/>
              <w:bottom w:w="80" w:type="dxa"/>
              <w:right w:w="90" w:type="dxa"/>
            </w:tcMar>
          </w:tcPr>
          <w:p w14:paraId="6215BB9E"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推奨される使用：2C／推奨されない使用：1B</w:t>
            </w:r>
            <w:r w:rsidRPr="00DE1AF5">
              <w:rPr>
                <w:rFonts w:ascii="Noto Sans JP" w:eastAsia="Noto Sans JP" w:hAnsi="Noto Sans JP"/>
                <w:sz w:val="19"/>
                <w:szCs w:val="19"/>
              </w:rPr>
              <w:br/>
              <w:t>JSTMCT 2024 CQ2</w:t>
            </w:r>
            <w:r w:rsidRPr="00DE1AF5">
              <w:rPr>
                <w:rFonts w:ascii="Noto Sans JP" w:eastAsia="Noto Sans JP" w:hAnsi="Noto Sans JP"/>
                <w:sz w:val="19"/>
                <w:szCs w:val="19"/>
              </w:rPr>
              <w:br/>
              <w:t>Patel A, et al. BMJ. 2014;349:g4561；SSC 2021</w:t>
            </w:r>
            <w:r w:rsidRPr="00DE1AF5">
              <w:rPr>
                <w:rFonts w:ascii="Noto Sans JP" w:eastAsia="Noto Sans JP" w:hAnsi="Noto Sans JP"/>
                <w:sz w:val="19"/>
                <w:szCs w:val="19"/>
              </w:rPr>
              <w:br/>
              <w:t xml:space="preserve">ALBIOS: </w:t>
            </w:r>
            <w:proofErr w:type="spellStart"/>
            <w:r w:rsidRPr="00DE1AF5">
              <w:rPr>
                <w:rFonts w:ascii="Noto Sans JP" w:eastAsia="Noto Sans JP" w:hAnsi="Noto Sans JP"/>
                <w:sz w:val="19"/>
                <w:szCs w:val="19"/>
              </w:rPr>
              <w:t>Caironi</w:t>
            </w:r>
            <w:proofErr w:type="spellEnd"/>
            <w:r w:rsidRPr="00DE1AF5">
              <w:rPr>
                <w:rFonts w:ascii="Noto Sans JP" w:eastAsia="Noto Sans JP" w:hAnsi="Noto Sans JP"/>
                <w:sz w:val="19"/>
                <w:szCs w:val="19"/>
              </w:rPr>
              <w:t xml:space="preserve"> P, et al. N Engl J Med. 2014;370:1412-1421</w:t>
            </w:r>
          </w:p>
        </w:tc>
      </w:tr>
      <w:tr w:rsidR="001C7883" w:rsidRPr="00DE1AF5" w14:paraId="3875976F" w14:textId="77777777">
        <w:tc>
          <w:tcPr>
            <w:tcW w:w="1650" w:type="dxa"/>
            <w:shd w:val="clear" w:color="auto" w:fill="DCE6F1"/>
            <w:tcMar>
              <w:top w:w="80" w:type="dxa"/>
              <w:left w:w="90" w:type="dxa"/>
              <w:bottom w:w="80" w:type="dxa"/>
              <w:right w:w="90" w:type="dxa"/>
            </w:tcMar>
          </w:tcPr>
          <w:p w14:paraId="775B6A2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腹水を伴う肝硬変（CQ3）</w:t>
            </w:r>
          </w:p>
        </w:tc>
        <w:tc>
          <w:tcPr>
            <w:tcW w:w="1150" w:type="dxa"/>
            <w:tcMar>
              <w:top w:w="80" w:type="dxa"/>
              <w:left w:w="90" w:type="dxa"/>
              <w:bottom w:w="80" w:type="dxa"/>
              <w:right w:w="90" w:type="dxa"/>
            </w:tcMar>
          </w:tcPr>
          <w:p w14:paraId="090371A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高張</w:t>
            </w:r>
          </w:p>
        </w:tc>
        <w:tc>
          <w:tcPr>
            <w:tcW w:w="2200" w:type="dxa"/>
            <w:tcMar>
              <w:top w:w="80" w:type="dxa"/>
              <w:left w:w="90" w:type="dxa"/>
              <w:bottom w:w="80" w:type="dxa"/>
              <w:right w:w="90" w:type="dxa"/>
            </w:tcMar>
          </w:tcPr>
          <w:p w14:paraId="642B91F1" w14:textId="77777777" w:rsidR="001C7883" w:rsidRPr="00DE1AF5" w:rsidRDefault="002E4D15" w:rsidP="00A03960">
            <w:pPr>
              <w:rPr>
                <w:rFonts w:ascii="Noto Sans JP" w:eastAsia="Noto Sans JP" w:hAnsi="Noto Sans JP"/>
              </w:rPr>
            </w:pPr>
            <w:r w:rsidRPr="00DE1AF5">
              <w:rPr>
                <w:rFonts w:ascii="Noto Sans JP" w:eastAsia="Noto Sans JP" w:hAnsi="Noto Sans JP"/>
                <w:sz w:val="19"/>
                <w:szCs w:val="19"/>
              </w:rPr>
              <w:t>① 利尿薬に加えた長期投与で腹水消失・予後改善</w:t>
            </w:r>
            <w:r w:rsidRPr="00DE1AF5">
              <w:rPr>
                <w:rFonts w:ascii="Noto Sans JP" w:eastAsia="Noto Sans JP" w:hAnsi="Noto Sans JP"/>
                <w:sz w:val="19"/>
                <w:szCs w:val="19"/>
              </w:rPr>
              <w:br/>
              <w:t>② 大量腹水穿刺（5L以上、1Lあたり6〜8g）で循環不全予防</w:t>
            </w:r>
            <w:r w:rsidRPr="00DE1AF5">
              <w:rPr>
                <w:rFonts w:ascii="Noto Sans JP" w:eastAsia="Noto Sans JP" w:hAnsi="Noto Sans JP"/>
                <w:sz w:val="19"/>
                <w:szCs w:val="19"/>
              </w:rPr>
              <w:br/>
              <w:t>③ SBPで腎障害・肝腎症候群を抑制（診断後6時間以内1.5g/kg、3日目1g/kg）</w:t>
            </w:r>
            <w:r w:rsidRPr="00DE1AF5">
              <w:rPr>
                <w:rFonts w:ascii="Noto Sans JP" w:eastAsia="Noto Sans JP" w:hAnsi="Noto Sans JP"/>
                <w:sz w:val="19"/>
                <w:szCs w:val="19"/>
              </w:rPr>
              <w:br/>
              <w:t>④ 肝硬変に伴う急性腎障害（AKI-HRS）で血管収縮薬併用（初日1g/kg、以後20〜40g/日）</w:t>
            </w:r>
          </w:p>
        </w:tc>
        <w:tc>
          <w:tcPr>
            <w:tcW w:w="1750" w:type="dxa"/>
            <w:tcMar>
              <w:top w:w="80" w:type="dxa"/>
              <w:left w:w="90" w:type="dxa"/>
              <w:bottom w:w="80" w:type="dxa"/>
              <w:right w:w="90" w:type="dxa"/>
            </w:tcMar>
          </w:tcPr>
          <w:p w14:paraId="768AC3EE"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いずれもエビデンスレベル最高。ただしSBP治療終了後の漫然継続は不要</w:t>
            </w:r>
          </w:p>
        </w:tc>
        <w:tc>
          <w:tcPr>
            <w:tcW w:w="2600" w:type="dxa"/>
            <w:tcMar>
              <w:top w:w="80" w:type="dxa"/>
              <w:left w:w="90" w:type="dxa"/>
              <w:bottom w:w="80" w:type="dxa"/>
              <w:right w:w="90" w:type="dxa"/>
            </w:tcMar>
          </w:tcPr>
          <w:p w14:paraId="448B8B8E"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①〜④すべて 1A</w:t>
            </w:r>
            <w:r w:rsidRPr="00DE1AF5">
              <w:rPr>
                <w:rFonts w:ascii="Noto Sans JP" w:eastAsia="Noto Sans JP" w:hAnsi="Noto Sans JP"/>
                <w:sz w:val="19"/>
                <w:szCs w:val="19"/>
              </w:rPr>
              <w:br/>
              <w:t>JSTMCT 2024 CQ3(1)-(4)</w:t>
            </w:r>
            <w:r w:rsidRPr="00DE1AF5">
              <w:rPr>
                <w:rFonts w:ascii="Noto Sans JP" w:eastAsia="Noto Sans JP" w:hAnsi="Noto Sans JP"/>
                <w:sz w:val="19"/>
                <w:szCs w:val="19"/>
              </w:rPr>
              <w:br/>
              <w:t>①</w:t>
            </w:r>
            <w:proofErr w:type="spellStart"/>
            <w:r w:rsidRPr="00DE1AF5">
              <w:rPr>
                <w:rFonts w:ascii="Noto Sans JP" w:eastAsia="Noto Sans JP" w:hAnsi="Noto Sans JP"/>
                <w:sz w:val="19"/>
                <w:szCs w:val="19"/>
              </w:rPr>
              <w:t>Zaccherini</w:t>
            </w:r>
            <w:proofErr w:type="spellEnd"/>
            <w:r w:rsidRPr="00DE1AF5">
              <w:rPr>
                <w:rFonts w:ascii="Noto Sans JP" w:eastAsia="Noto Sans JP" w:hAnsi="Noto Sans JP"/>
                <w:sz w:val="19"/>
                <w:szCs w:val="19"/>
              </w:rPr>
              <w:t xml:space="preserve"> G, et al. </w:t>
            </w:r>
            <w:proofErr w:type="spellStart"/>
            <w:r w:rsidRPr="00DE1AF5">
              <w:rPr>
                <w:rFonts w:ascii="Noto Sans JP" w:eastAsia="Noto Sans JP" w:hAnsi="Noto Sans JP"/>
                <w:sz w:val="19"/>
                <w:szCs w:val="19"/>
              </w:rPr>
              <w:t>Hepat</w:t>
            </w:r>
            <w:proofErr w:type="spellEnd"/>
            <w:r w:rsidRPr="00DE1AF5">
              <w:rPr>
                <w:rFonts w:ascii="Noto Sans JP" w:eastAsia="Noto Sans JP" w:hAnsi="Noto Sans JP"/>
                <w:sz w:val="19"/>
                <w:szCs w:val="19"/>
              </w:rPr>
              <w:t xml:space="preserve"> Med. 2020;12:153-172</w:t>
            </w:r>
            <w:r w:rsidRPr="00DE1AF5">
              <w:rPr>
                <w:rFonts w:ascii="Noto Sans JP" w:eastAsia="Noto Sans JP" w:hAnsi="Noto Sans JP"/>
                <w:sz w:val="19"/>
                <w:szCs w:val="19"/>
              </w:rPr>
              <w:br/>
              <w:t xml:space="preserve">　ANSWER: </w:t>
            </w:r>
            <w:proofErr w:type="spellStart"/>
            <w:r w:rsidRPr="00DE1AF5">
              <w:rPr>
                <w:rFonts w:ascii="Noto Sans JP" w:eastAsia="Noto Sans JP" w:hAnsi="Noto Sans JP"/>
                <w:sz w:val="19"/>
                <w:szCs w:val="19"/>
              </w:rPr>
              <w:t>Caraceni</w:t>
            </w:r>
            <w:proofErr w:type="spellEnd"/>
            <w:r w:rsidRPr="00DE1AF5">
              <w:rPr>
                <w:rFonts w:ascii="Noto Sans JP" w:eastAsia="Noto Sans JP" w:hAnsi="Noto Sans JP"/>
                <w:sz w:val="19"/>
                <w:szCs w:val="19"/>
              </w:rPr>
              <w:t xml:space="preserve"> P, et al. Lancet. 2018;391:2417-2429</w:t>
            </w:r>
            <w:r w:rsidRPr="00DE1AF5">
              <w:rPr>
                <w:rFonts w:ascii="Noto Sans JP" w:eastAsia="Noto Sans JP" w:hAnsi="Noto Sans JP"/>
                <w:sz w:val="19"/>
                <w:szCs w:val="19"/>
              </w:rPr>
              <w:br/>
              <w:t>②Bernardi M, et al. Hepatology. 2012;55:1172-1181</w:t>
            </w:r>
            <w:r w:rsidRPr="00DE1AF5">
              <w:rPr>
                <w:rFonts w:ascii="Noto Sans JP" w:eastAsia="Noto Sans JP" w:hAnsi="Noto Sans JP"/>
                <w:sz w:val="19"/>
                <w:szCs w:val="19"/>
              </w:rPr>
              <w:br/>
              <w:t>③Salerno F, et al. Clin Gastroenterol Hepatol. 2013;11:123-130</w:t>
            </w:r>
            <w:r w:rsidRPr="00DE1AF5">
              <w:rPr>
                <w:rFonts w:ascii="Noto Sans JP" w:eastAsia="Noto Sans JP" w:hAnsi="Noto Sans JP"/>
                <w:sz w:val="19"/>
                <w:szCs w:val="19"/>
              </w:rPr>
              <w:br/>
              <w:t xml:space="preserve">　Sort P, et al. N Engl J Med. 1999;341:403-409</w:t>
            </w:r>
            <w:r w:rsidRPr="00DE1AF5">
              <w:rPr>
                <w:rFonts w:ascii="Noto Sans JP" w:eastAsia="Noto Sans JP" w:hAnsi="Noto Sans JP"/>
                <w:sz w:val="19"/>
                <w:szCs w:val="19"/>
              </w:rPr>
              <w:br/>
              <w:t>④Best LM, et al. Cochrane Database Syst Rev. 2019;9:CD013103</w:t>
            </w:r>
            <w:r w:rsidRPr="00DE1AF5">
              <w:rPr>
                <w:rFonts w:ascii="Noto Sans JP" w:eastAsia="Noto Sans JP" w:hAnsi="Noto Sans JP"/>
                <w:sz w:val="19"/>
                <w:szCs w:val="19"/>
              </w:rPr>
              <w:br/>
              <w:t xml:space="preserve">　CONFIRM: Wong F, et al. N Engl J Med. 2021;384:818-828</w:t>
            </w:r>
          </w:p>
        </w:tc>
      </w:tr>
      <w:tr w:rsidR="001C7883" w:rsidRPr="00DE1AF5" w14:paraId="448F3081" w14:textId="77777777">
        <w:tc>
          <w:tcPr>
            <w:tcW w:w="1650" w:type="dxa"/>
            <w:shd w:val="clear" w:color="auto" w:fill="DCE6F1"/>
            <w:tcMar>
              <w:top w:w="80" w:type="dxa"/>
              <w:left w:w="90" w:type="dxa"/>
              <w:bottom w:w="80" w:type="dxa"/>
              <w:right w:w="90" w:type="dxa"/>
            </w:tcMar>
          </w:tcPr>
          <w:p w14:paraId="123F56CB"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lastRenderedPageBreak/>
              <w:t>ネフローゼ症候群の難治性浮腫・肺水腫（CQ4）</w:t>
            </w:r>
          </w:p>
        </w:tc>
        <w:tc>
          <w:tcPr>
            <w:tcW w:w="1150" w:type="dxa"/>
            <w:tcMar>
              <w:top w:w="80" w:type="dxa"/>
              <w:left w:w="90" w:type="dxa"/>
              <w:bottom w:w="80" w:type="dxa"/>
              <w:right w:w="90" w:type="dxa"/>
            </w:tcMar>
          </w:tcPr>
          <w:p w14:paraId="22F1589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高張</w:t>
            </w:r>
          </w:p>
        </w:tc>
        <w:tc>
          <w:tcPr>
            <w:tcW w:w="2200" w:type="dxa"/>
            <w:tcMar>
              <w:top w:w="80" w:type="dxa"/>
              <w:left w:w="90" w:type="dxa"/>
              <w:bottom w:w="80" w:type="dxa"/>
              <w:right w:w="90" w:type="dxa"/>
            </w:tcMar>
          </w:tcPr>
          <w:p w14:paraId="1FDFED6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緊急避難的な使用に限り考慮</w:t>
            </w:r>
          </w:p>
        </w:tc>
        <w:tc>
          <w:tcPr>
            <w:tcW w:w="1750" w:type="dxa"/>
            <w:tcMar>
              <w:top w:w="80" w:type="dxa"/>
              <w:left w:w="90" w:type="dxa"/>
              <w:bottom w:w="80" w:type="dxa"/>
              <w:right w:w="90" w:type="dxa"/>
            </w:tcMar>
          </w:tcPr>
          <w:p w14:paraId="6CA32E67"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効果は一過性かつ限定的で、通常の浮腫治療目的の使用は推奨されない</w:t>
            </w:r>
          </w:p>
        </w:tc>
        <w:tc>
          <w:tcPr>
            <w:tcW w:w="2600" w:type="dxa"/>
            <w:tcMar>
              <w:top w:w="80" w:type="dxa"/>
              <w:left w:w="90" w:type="dxa"/>
              <w:bottom w:w="80" w:type="dxa"/>
              <w:right w:w="90" w:type="dxa"/>
            </w:tcMar>
          </w:tcPr>
          <w:p w14:paraId="4B382924"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2D</w:t>
            </w:r>
            <w:r w:rsidRPr="00DE1AF5">
              <w:rPr>
                <w:rFonts w:ascii="Noto Sans JP" w:eastAsia="Noto Sans JP" w:hAnsi="Noto Sans JP"/>
                <w:sz w:val="19"/>
                <w:szCs w:val="19"/>
              </w:rPr>
              <w:br/>
              <w:t>JSTMCT 2024 CQ4</w:t>
            </w:r>
          </w:p>
        </w:tc>
      </w:tr>
      <w:tr w:rsidR="001C7883" w:rsidRPr="00DE1AF5" w14:paraId="5DB19424" w14:textId="77777777">
        <w:tc>
          <w:tcPr>
            <w:tcW w:w="1650" w:type="dxa"/>
            <w:shd w:val="clear" w:color="auto" w:fill="DCE6F1"/>
            <w:tcMar>
              <w:top w:w="80" w:type="dxa"/>
              <w:left w:w="90" w:type="dxa"/>
              <w:bottom w:w="80" w:type="dxa"/>
              <w:right w:w="90" w:type="dxa"/>
            </w:tcMar>
          </w:tcPr>
          <w:p w14:paraId="4444AA5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循環動態が不安定な血液透析等の体外循環（CQ5）</w:t>
            </w:r>
          </w:p>
        </w:tc>
        <w:tc>
          <w:tcPr>
            <w:tcW w:w="1150" w:type="dxa"/>
            <w:tcMar>
              <w:top w:w="80" w:type="dxa"/>
              <w:left w:w="90" w:type="dxa"/>
              <w:bottom w:w="80" w:type="dxa"/>
              <w:right w:w="90" w:type="dxa"/>
            </w:tcMar>
          </w:tcPr>
          <w:p w14:paraId="1946BD0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等張</w:t>
            </w:r>
          </w:p>
        </w:tc>
        <w:tc>
          <w:tcPr>
            <w:tcW w:w="2200" w:type="dxa"/>
            <w:tcMar>
              <w:top w:w="80" w:type="dxa"/>
              <w:left w:w="90" w:type="dxa"/>
              <w:bottom w:w="80" w:type="dxa"/>
              <w:right w:w="90" w:type="dxa"/>
            </w:tcMar>
          </w:tcPr>
          <w:p w14:paraId="49CE294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生理食塩液等で改善しない場合の選択肢の一つ</w:t>
            </w:r>
          </w:p>
        </w:tc>
        <w:tc>
          <w:tcPr>
            <w:tcW w:w="1750" w:type="dxa"/>
            <w:tcMar>
              <w:top w:w="80" w:type="dxa"/>
              <w:left w:w="90" w:type="dxa"/>
              <w:bottom w:w="80" w:type="dxa"/>
              <w:right w:w="90" w:type="dxa"/>
            </w:tcMar>
          </w:tcPr>
          <w:p w14:paraId="0511848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原則として推奨されない。第一選択とする必要はなく、降圧薬調整・血管作動薬・持続透析等での対応を優先</w:t>
            </w:r>
          </w:p>
        </w:tc>
        <w:tc>
          <w:tcPr>
            <w:tcW w:w="2600" w:type="dxa"/>
            <w:tcMar>
              <w:top w:w="80" w:type="dxa"/>
              <w:left w:w="90" w:type="dxa"/>
              <w:bottom w:w="80" w:type="dxa"/>
              <w:right w:w="90" w:type="dxa"/>
            </w:tcMar>
          </w:tcPr>
          <w:p w14:paraId="0C16B1D9"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2C</w:t>
            </w:r>
            <w:r w:rsidRPr="00DE1AF5">
              <w:rPr>
                <w:rFonts w:ascii="Noto Sans JP" w:eastAsia="Noto Sans JP" w:hAnsi="Noto Sans JP"/>
                <w:sz w:val="19"/>
                <w:szCs w:val="19"/>
              </w:rPr>
              <w:br/>
              <w:t>JSTMCT 2024 CQ5</w:t>
            </w:r>
          </w:p>
        </w:tc>
      </w:tr>
      <w:tr w:rsidR="001C7883" w:rsidRPr="00DE1AF5" w14:paraId="5EABE48E" w14:textId="77777777">
        <w:tc>
          <w:tcPr>
            <w:tcW w:w="1650" w:type="dxa"/>
            <w:shd w:val="clear" w:color="auto" w:fill="DCE6F1"/>
            <w:tcMar>
              <w:top w:w="80" w:type="dxa"/>
              <w:left w:w="90" w:type="dxa"/>
              <w:bottom w:w="80" w:type="dxa"/>
              <w:right w:w="90" w:type="dxa"/>
            </w:tcMar>
          </w:tcPr>
          <w:p w14:paraId="008D1FC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治療的血漿交換療法（CQ6）</w:t>
            </w:r>
          </w:p>
        </w:tc>
        <w:tc>
          <w:tcPr>
            <w:tcW w:w="1150" w:type="dxa"/>
            <w:tcMar>
              <w:top w:w="80" w:type="dxa"/>
              <w:left w:w="90" w:type="dxa"/>
              <w:bottom w:w="80" w:type="dxa"/>
              <w:right w:w="90" w:type="dxa"/>
            </w:tcMar>
          </w:tcPr>
          <w:p w14:paraId="4108714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等張(原液)／</w:t>
            </w:r>
            <w:r w:rsidRPr="00DE1AF5">
              <w:rPr>
                <w:rFonts w:ascii="Noto Sans JP" w:eastAsia="Noto Sans JP" w:hAnsi="Noto Sans JP"/>
                <w:sz w:val="19"/>
                <w:szCs w:val="19"/>
              </w:rPr>
              <w:br/>
              <w:t>高張(希釈使用)</w:t>
            </w:r>
          </w:p>
        </w:tc>
        <w:tc>
          <w:tcPr>
            <w:tcW w:w="2200" w:type="dxa"/>
            <w:tcMar>
              <w:top w:w="80" w:type="dxa"/>
              <w:left w:w="90" w:type="dxa"/>
              <w:bottom w:w="80" w:type="dxa"/>
              <w:right w:w="90" w:type="dxa"/>
            </w:tcMar>
          </w:tcPr>
          <w:p w14:paraId="7BED964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凝固因子補充が不要な場合の置換液として使用（詳細は4.5節）</w:t>
            </w:r>
          </w:p>
        </w:tc>
        <w:tc>
          <w:tcPr>
            <w:tcW w:w="1750" w:type="dxa"/>
            <w:tcMar>
              <w:top w:w="80" w:type="dxa"/>
              <w:left w:w="90" w:type="dxa"/>
              <w:bottom w:w="80" w:type="dxa"/>
              <w:right w:w="90" w:type="dxa"/>
            </w:tcMar>
          </w:tcPr>
          <w:p w14:paraId="64AB8BB8"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多発性硬化症・多発性骨髄腫等では効果は限定的</w:t>
            </w:r>
          </w:p>
        </w:tc>
        <w:tc>
          <w:tcPr>
            <w:tcW w:w="2600" w:type="dxa"/>
            <w:tcMar>
              <w:top w:w="80" w:type="dxa"/>
              <w:left w:w="90" w:type="dxa"/>
              <w:bottom w:w="80" w:type="dxa"/>
              <w:right w:w="90" w:type="dxa"/>
            </w:tcMar>
          </w:tcPr>
          <w:p w14:paraId="241BEEFB"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推奨される使用（神経疾患1A・ABO不適合移植1B）／推奨されない使用：2C</w:t>
            </w:r>
            <w:r w:rsidRPr="00DE1AF5">
              <w:rPr>
                <w:rFonts w:ascii="Noto Sans JP" w:eastAsia="Noto Sans JP" w:hAnsi="Noto Sans JP"/>
                <w:sz w:val="19"/>
                <w:szCs w:val="19"/>
              </w:rPr>
              <w:br/>
              <w:t>JSTMCT 2024 CQ6（4.5節参照）</w:t>
            </w:r>
          </w:p>
        </w:tc>
      </w:tr>
      <w:tr w:rsidR="001C7883" w:rsidRPr="00DE1AF5" w14:paraId="33273C61" w14:textId="77777777">
        <w:tc>
          <w:tcPr>
            <w:tcW w:w="1650" w:type="dxa"/>
            <w:shd w:val="clear" w:color="auto" w:fill="DCE6F1"/>
            <w:tcMar>
              <w:top w:w="80" w:type="dxa"/>
              <w:left w:w="90" w:type="dxa"/>
              <w:bottom w:w="80" w:type="dxa"/>
              <w:right w:w="90" w:type="dxa"/>
            </w:tcMar>
          </w:tcPr>
          <w:p w14:paraId="036BFF78"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重症熱傷（CQ7）</w:t>
            </w:r>
          </w:p>
        </w:tc>
        <w:tc>
          <w:tcPr>
            <w:tcW w:w="1150" w:type="dxa"/>
            <w:tcMar>
              <w:top w:w="80" w:type="dxa"/>
              <w:left w:w="90" w:type="dxa"/>
              <w:bottom w:w="80" w:type="dxa"/>
              <w:right w:w="90" w:type="dxa"/>
            </w:tcMar>
          </w:tcPr>
          <w:p w14:paraId="613456F0"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等張</w:t>
            </w:r>
          </w:p>
        </w:tc>
        <w:tc>
          <w:tcPr>
            <w:tcW w:w="2200" w:type="dxa"/>
            <w:tcMar>
              <w:top w:w="80" w:type="dxa"/>
              <w:left w:w="90" w:type="dxa"/>
              <w:bottom w:w="80" w:type="dxa"/>
              <w:right w:w="90" w:type="dxa"/>
            </w:tcMar>
          </w:tcPr>
          <w:p w14:paraId="2FF825CE"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総輸液量減少・腹腔内圧上昇抑制・合併症予防を目的に等張性電解質輸液へ併用を考慮</w:t>
            </w:r>
          </w:p>
        </w:tc>
        <w:tc>
          <w:tcPr>
            <w:tcW w:w="1750" w:type="dxa"/>
            <w:tcMar>
              <w:top w:w="80" w:type="dxa"/>
              <w:left w:w="90" w:type="dxa"/>
              <w:bottom w:w="80" w:type="dxa"/>
              <w:right w:w="90" w:type="dxa"/>
            </w:tcMar>
          </w:tcPr>
          <w:p w14:paraId="5DCF29E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受傷直後（6〜18時間）の第一選択は晶質液。至適開始時期・投与量は未確立</w:t>
            </w:r>
          </w:p>
        </w:tc>
        <w:tc>
          <w:tcPr>
            <w:tcW w:w="2600" w:type="dxa"/>
            <w:tcMar>
              <w:top w:w="80" w:type="dxa"/>
              <w:left w:w="90" w:type="dxa"/>
              <w:bottom w:w="80" w:type="dxa"/>
              <w:right w:w="90" w:type="dxa"/>
            </w:tcMar>
          </w:tcPr>
          <w:p w14:paraId="6F874321"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2C</w:t>
            </w:r>
            <w:r w:rsidRPr="00DE1AF5">
              <w:rPr>
                <w:rFonts w:ascii="Noto Sans JP" w:eastAsia="Noto Sans JP" w:hAnsi="Noto Sans JP"/>
                <w:sz w:val="19"/>
                <w:szCs w:val="19"/>
              </w:rPr>
              <w:br/>
              <w:t>JSTMCT 2024 CQ7</w:t>
            </w:r>
            <w:r w:rsidRPr="00DE1AF5">
              <w:rPr>
                <w:rFonts w:ascii="Noto Sans JP" w:eastAsia="Noto Sans JP" w:hAnsi="Noto Sans JP"/>
                <w:sz w:val="19"/>
                <w:szCs w:val="19"/>
              </w:rPr>
              <w:br/>
              <w:t>日本熱傷学会：熱傷診療ガイドライン改訂第2版, 2015</w:t>
            </w:r>
          </w:p>
        </w:tc>
      </w:tr>
      <w:tr w:rsidR="001C7883" w:rsidRPr="00DE1AF5" w14:paraId="302D7FED" w14:textId="77777777">
        <w:tc>
          <w:tcPr>
            <w:tcW w:w="1650" w:type="dxa"/>
            <w:shd w:val="clear" w:color="auto" w:fill="DCE6F1"/>
            <w:tcMar>
              <w:top w:w="80" w:type="dxa"/>
              <w:left w:w="90" w:type="dxa"/>
              <w:bottom w:w="80" w:type="dxa"/>
              <w:right w:w="90" w:type="dxa"/>
            </w:tcMar>
          </w:tcPr>
          <w:p w14:paraId="03442497"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低蛋白血症による治療抵抗性肺水腫・著明浮腫（CQ8）</w:t>
            </w:r>
          </w:p>
        </w:tc>
        <w:tc>
          <w:tcPr>
            <w:tcW w:w="1150" w:type="dxa"/>
            <w:tcMar>
              <w:top w:w="80" w:type="dxa"/>
              <w:left w:w="90" w:type="dxa"/>
              <w:bottom w:w="80" w:type="dxa"/>
              <w:right w:w="90" w:type="dxa"/>
            </w:tcMar>
          </w:tcPr>
          <w:p w14:paraId="683C760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高張</w:t>
            </w:r>
          </w:p>
        </w:tc>
        <w:tc>
          <w:tcPr>
            <w:tcW w:w="2200" w:type="dxa"/>
            <w:tcMar>
              <w:top w:w="80" w:type="dxa"/>
              <w:left w:w="90" w:type="dxa"/>
              <w:bottom w:w="80" w:type="dxa"/>
              <w:right w:w="90" w:type="dxa"/>
            </w:tcMar>
          </w:tcPr>
          <w:p w14:paraId="72895EE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血清アルブミン2.0g/dL以下の場合、利尿薬無効時に高張アルブミン製剤の使用を考慮</w:t>
            </w:r>
          </w:p>
        </w:tc>
        <w:tc>
          <w:tcPr>
            <w:tcW w:w="1750" w:type="dxa"/>
            <w:tcMar>
              <w:top w:w="80" w:type="dxa"/>
              <w:left w:w="90" w:type="dxa"/>
              <w:bottom w:w="80" w:type="dxa"/>
              <w:right w:w="90" w:type="dxa"/>
            </w:tcMar>
          </w:tcPr>
          <w:p w14:paraId="1B0A019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予後改善のエビデンスはなく、対症療法の位置づけ</w:t>
            </w:r>
          </w:p>
        </w:tc>
        <w:tc>
          <w:tcPr>
            <w:tcW w:w="2600" w:type="dxa"/>
            <w:tcMar>
              <w:top w:w="80" w:type="dxa"/>
              <w:left w:w="90" w:type="dxa"/>
              <w:bottom w:w="80" w:type="dxa"/>
              <w:right w:w="90" w:type="dxa"/>
            </w:tcMar>
          </w:tcPr>
          <w:p w14:paraId="69EC7ABC"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2B</w:t>
            </w:r>
            <w:r w:rsidRPr="00DE1AF5">
              <w:rPr>
                <w:rFonts w:ascii="Noto Sans JP" w:eastAsia="Noto Sans JP" w:hAnsi="Noto Sans JP"/>
                <w:sz w:val="19"/>
                <w:szCs w:val="19"/>
              </w:rPr>
              <w:br/>
              <w:t>JSTMCT 2024 CQ8</w:t>
            </w:r>
          </w:p>
        </w:tc>
      </w:tr>
      <w:tr w:rsidR="001C7883" w:rsidRPr="00DE1AF5" w14:paraId="3216A5AE" w14:textId="77777777">
        <w:tc>
          <w:tcPr>
            <w:tcW w:w="1650" w:type="dxa"/>
            <w:shd w:val="clear" w:color="auto" w:fill="DCE6F1"/>
            <w:tcMar>
              <w:top w:w="80" w:type="dxa"/>
              <w:left w:w="90" w:type="dxa"/>
              <w:bottom w:w="80" w:type="dxa"/>
              <w:right w:w="90" w:type="dxa"/>
            </w:tcMar>
          </w:tcPr>
          <w:p w14:paraId="5C9163B7"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頭部外傷・急性脳梗塞・脳血管攣縮（CQ9）</w:t>
            </w:r>
          </w:p>
        </w:tc>
        <w:tc>
          <w:tcPr>
            <w:tcW w:w="1150" w:type="dxa"/>
            <w:tcMar>
              <w:top w:w="80" w:type="dxa"/>
              <w:left w:w="90" w:type="dxa"/>
              <w:bottom w:w="80" w:type="dxa"/>
              <w:right w:w="90" w:type="dxa"/>
            </w:tcMar>
          </w:tcPr>
          <w:p w14:paraId="50AB3B4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等張(血管攣縮時)</w:t>
            </w:r>
          </w:p>
        </w:tc>
        <w:tc>
          <w:tcPr>
            <w:tcW w:w="2200" w:type="dxa"/>
            <w:tcMar>
              <w:top w:w="80" w:type="dxa"/>
              <w:left w:w="90" w:type="dxa"/>
              <w:bottom w:w="80" w:type="dxa"/>
              <w:right w:w="90" w:type="dxa"/>
            </w:tcMar>
          </w:tcPr>
          <w:p w14:paraId="540EA7F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くも膜下出血後の血管攣縮で晶質液のみでは循環血液量を維持できない場合に等張アルブミンを考慮</w:t>
            </w:r>
          </w:p>
        </w:tc>
        <w:tc>
          <w:tcPr>
            <w:tcW w:w="1750" w:type="dxa"/>
            <w:tcMar>
              <w:top w:w="80" w:type="dxa"/>
              <w:left w:w="90" w:type="dxa"/>
              <w:bottom w:w="80" w:type="dxa"/>
              <w:right w:w="90" w:type="dxa"/>
            </w:tcMar>
          </w:tcPr>
          <w:p w14:paraId="514E113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外傷性脳損傷の輸液蘇生・急性脳梗塞の初期治療には使用しない（予後悪化・出血性合併症の懸念）</w:t>
            </w:r>
          </w:p>
        </w:tc>
        <w:tc>
          <w:tcPr>
            <w:tcW w:w="2600" w:type="dxa"/>
            <w:tcMar>
              <w:top w:w="80" w:type="dxa"/>
              <w:left w:w="90" w:type="dxa"/>
              <w:bottom w:w="80" w:type="dxa"/>
              <w:right w:w="90" w:type="dxa"/>
            </w:tcMar>
          </w:tcPr>
          <w:p w14:paraId="3AF708BA"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推奨される使用（血管攣縮時）：2C／推奨されない使用（外傷性脳損傷1B・急性脳梗塞1A）</w:t>
            </w:r>
            <w:r w:rsidRPr="00DE1AF5">
              <w:rPr>
                <w:rFonts w:ascii="Noto Sans JP" w:eastAsia="Noto Sans JP" w:hAnsi="Noto Sans JP"/>
                <w:sz w:val="19"/>
                <w:szCs w:val="19"/>
              </w:rPr>
              <w:br/>
              <w:t>JSTMCT 2024 CQ9</w:t>
            </w:r>
            <w:r w:rsidRPr="00DE1AF5">
              <w:rPr>
                <w:rFonts w:ascii="Noto Sans JP" w:eastAsia="Noto Sans JP" w:hAnsi="Noto Sans JP"/>
                <w:sz w:val="19"/>
                <w:szCs w:val="19"/>
              </w:rPr>
              <w:br/>
              <w:t>SAFE-TBI: Myburgh J, et al. N Engl J Med. 2007;357:874-884</w:t>
            </w:r>
          </w:p>
        </w:tc>
      </w:tr>
      <w:tr w:rsidR="001C7883" w:rsidRPr="00DE1AF5" w14:paraId="6259E44D" w14:textId="77777777">
        <w:tc>
          <w:tcPr>
            <w:tcW w:w="1650" w:type="dxa"/>
            <w:shd w:val="clear" w:color="auto" w:fill="DCE6F1"/>
            <w:tcMar>
              <w:top w:w="80" w:type="dxa"/>
              <w:left w:w="90" w:type="dxa"/>
              <w:bottom w:w="80" w:type="dxa"/>
              <w:right w:w="90" w:type="dxa"/>
            </w:tcMar>
          </w:tcPr>
          <w:p w14:paraId="29DEE37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人工心肺を使用する心臓手術（CQ10）</w:t>
            </w:r>
          </w:p>
        </w:tc>
        <w:tc>
          <w:tcPr>
            <w:tcW w:w="1150" w:type="dxa"/>
            <w:tcMar>
              <w:top w:w="80" w:type="dxa"/>
              <w:left w:w="90" w:type="dxa"/>
              <w:bottom w:w="80" w:type="dxa"/>
              <w:right w:w="90" w:type="dxa"/>
            </w:tcMar>
          </w:tcPr>
          <w:p w14:paraId="66C8611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高張(小児)／等張(成人)</w:t>
            </w:r>
          </w:p>
        </w:tc>
        <w:tc>
          <w:tcPr>
            <w:tcW w:w="2200" w:type="dxa"/>
            <w:tcMar>
              <w:top w:w="80" w:type="dxa"/>
              <w:left w:w="90" w:type="dxa"/>
              <w:bottom w:w="80" w:type="dxa"/>
              <w:right w:w="90" w:type="dxa"/>
            </w:tcMar>
          </w:tcPr>
          <w:p w14:paraId="3041463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小児心臓手術では人工心肺充填液への高張アルブミン追加でICU・入院期間短縮を考慮で</w:t>
            </w:r>
            <w:r w:rsidRPr="00DE1AF5">
              <w:rPr>
                <w:rFonts w:ascii="Noto Sans JP" w:eastAsia="Noto Sans JP" w:hAnsi="Noto Sans JP"/>
                <w:sz w:val="19"/>
                <w:szCs w:val="19"/>
              </w:rPr>
              <w:lastRenderedPageBreak/>
              <w:t>きる（限定的なエビデンス）</w:t>
            </w:r>
          </w:p>
        </w:tc>
        <w:tc>
          <w:tcPr>
            <w:tcW w:w="1750" w:type="dxa"/>
            <w:tcMar>
              <w:top w:w="80" w:type="dxa"/>
              <w:left w:w="90" w:type="dxa"/>
              <w:bottom w:w="80" w:type="dxa"/>
              <w:right w:w="90" w:type="dxa"/>
            </w:tcMar>
          </w:tcPr>
          <w:p w14:paraId="532F487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lastRenderedPageBreak/>
              <w:t>成人で全身状態良好・人工心肺時間が短い（目安100分程度）場合、等</w:t>
            </w:r>
            <w:r w:rsidRPr="00DE1AF5">
              <w:rPr>
                <w:rFonts w:ascii="Noto Sans JP" w:eastAsia="Noto Sans JP" w:hAnsi="Noto Sans JP"/>
                <w:sz w:val="19"/>
                <w:szCs w:val="19"/>
              </w:rPr>
              <w:lastRenderedPageBreak/>
              <w:t>張(4%)製剤の使用は不要</w:t>
            </w:r>
          </w:p>
        </w:tc>
        <w:tc>
          <w:tcPr>
            <w:tcW w:w="2600" w:type="dxa"/>
            <w:tcMar>
              <w:top w:w="80" w:type="dxa"/>
              <w:left w:w="90" w:type="dxa"/>
              <w:bottom w:w="80" w:type="dxa"/>
              <w:right w:w="90" w:type="dxa"/>
            </w:tcMar>
          </w:tcPr>
          <w:p w14:paraId="57FB64E1"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lastRenderedPageBreak/>
              <w:t>推奨される使用（小児）：2B／推奨されない使用（成人）：2B</w:t>
            </w:r>
            <w:r w:rsidRPr="00DE1AF5">
              <w:rPr>
                <w:rFonts w:ascii="Noto Sans JP" w:eastAsia="Noto Sans JP" w:hAnsi="Noto Sans JP"/>
                <w:sz w:val="19"/>
                <w:szCs w:val="19"/>
              </w:rPr>
              <w:br/>
              <w:t>JSTMCT 2024 CQ10</w:t>
            </w:r>
            <w:r w:rsidRPr="00DE1AF5">
              <w:rPr>
                <w:rFonts w:ascii="Noto Sans JP" w:eastAsia="Noto Sans JP" w:hAnsi="Noto Sans JP"/>
                <w:sz w:val="19"/>
                <w:szCs w:val="19"/>
              </w:rPr>
              <w:br/>
            </w:r>
            <w:r w:rsidRPr="00DE1AF5">
              <w:rPr>
                <w:rFonts w:ascii="Noto Sans JP" w:eastAsia="Noto Sans JP" w:hAnsi="Noto Sans JP"/>
                <w:sz w:val="19"/>
                <w:szCs w:val="19"/>
              </w:rPr>
              <w:lastRenderedPageBreak/>
              <w:t>Pesonen E, et al.（成人4%）JAMA. 2022;328:251-258</w:t>
            </w:r>
          </w:p>
        </w:tc>
      </w:tr>
      <w:tr w:rsidR="001C7883" w:rsidRPr="00DE1AF5" w14:paraId="5AABB0D1" w14:textId="77777777">
        <w:tc>
          <w:tcPr>
            <w:tcW w:w="1650" w:type="dxa"/>
            <w:shd w:val="clear" w:color="auto" w:fill="DCE6F1"/>
            <w:tcMar>
              <w:top w:w="80" w:type="dxa"/>
              <w:left w:w="90" w:type="dxa"/>
              <w:bottom w:w="80" w:type="dxa"/>
              <w:right w:w="90" w:type="dxa"/>
            </w:tcMar>
          </w:tcPr>
          <w:p w14:paraId="2D9852A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lastRenderedPageBreak/>
              <w:t>周術期の循環動態安定した低アルブミン血症・栄養補給・終末期（CQ11〜13）</w:t>
            </w:r>
          </w:p>
        </w:tc>
        <w:tc>
          <w:tcPr>
            <w:tcW w:w="1150" w:type="dxa"/>
            <w:tcMar>
              <w:top w:w="80" w:type="dxa"/>
              <w:left w:w="90" w:type="dxa"/>
              <w:bottom w:w="80" w:type="dxa"/>
              <w:right w:w="90" w:type="dxa"/>
            </w:tcMar>
          </w:tcPr>
          <w:p w14:paraId="47A709EF" w14:textId="77777777" w:rsidR="001C7883" w:rsidRPr="00DE1AF5" w:rsidRDefault="002E4D15" w:rsidP="00BF5BFC">
            <w:pPr>
              <w:rPr>
                <w:rFonts w:ascii="Noto Sans JP" w:eastAsia="Noto Sans JP" w:hAnsi="Noto Sans JP"/>
              </w:rPr>
            </w:pPr>
            <w:r w:rsidRPr="00DE1AF5">
              <w:rPr>
                <w:rFonts w:ascii="Noto Sans JP" w:eastAsia="Noto Sans JP" w:hAnsi="Noto Sans JP"/>
                <w:sz w:val="19"/>
                <w:szCs w:val="19"/>
              </w:rPr>
              <w:t>等張</w:t>
            </w:r>
            <w:r w:rsidRPr="00DE1AF5">
              <w:rPr>
                <w:rFonts w:ascii="Noto Sans JP" w:eastAsia="Noto Sans JP" w:hAnsi="Noto Sans JP"/>
                <w:sz w:val="19"/>
                <w:szCs w:val="19"/>
              </w:rPr>
              <w:br/>
              <w:t>（該当する場合）</w:t>
            </w:r>
          </w:p>
        </w:tc>
        <w:tc>
          <w:tcPr>
            <w:tcW w:w="2200" w:type="dxa"/>
            <w:tcMar>
              <w:top w:w="80" w:type="dxa"/>
              <w:left w:w="90" w:type="dxa"/>
              <w:bottom w:w="80" w:type="dxa"/>
              <w:right w:w="90" w:type="dxa"/>
            </w:tcMar>
          </w:tcPr>
          <w:p w14:paraId="6E35040B"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原則として投与しない（原疾患治療・栄養療法・緩和的対症療法を優先）</w:t>
            </w:r>
          </w:p>
        </w:tc>
        <w:tc>
          <w:tcPr>
            <w:tcW w:w="1750" w:type="dxa"/>
            <w:tcMar>
              <w:top w:w="80" w:type="dxa"/>
              <w:left w:w="90" w:type="dxa"/>
              <w:bottom w:w="80" w:type="dxa"/>
              <w:right w:w="90" w:type="dxa"/>
            </w:tcMar>
          </w:tcPr>
          <w:p w14:paraId="02E8FB4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血清Alb値の数値是正のみ・蛋白源としての栄養補給・終末期予後改善を目的とした投与は不適正使用の典型例。感染症増加等の懸念も報告</w:t>
            </w:r>
          </w:p>
        </w:tc>
        <w:tc>
          <w:tcPr>
            <w:tcW w:w="2600" w:type="dxa"/>
            <w:tcMar>
              <w:top w:w="80" w:type="dxa"/>
              <w:left w:w="90" w:type="dxa"/>
              <w:bottom w:w="80" w:type="dxa"/>
              <w:right w:w="90" w:type="dxa"/>
            </w:tcMar>
          </w:tcPr>
          <w:p w14:paraId="3EFBBDC3"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いずれも2C</w:t>
            </w:r>
            <w:r w:rsidRPr="00DE1AF5">
              <w:rPr>
                <w:rFonts w:ascii="Noto Sans JP" w:eastAsia="Noto Sans JP" w:hAnsi="Noto Sans JP"/>
                <w:sz w:val="19"/>
                <w:szCs w:val="19"/>
              </w:rPr>
              <w:br/>
              <w:t>JSTMCT 2024 CQ11・CQ12・CQ13</w:t>
            </w:r>
          </w:p>
        </w:tc>
      </w:tr>
    </w:tbl>
    <w:p w14:paraId="07AB1DA4" w14:textId="77777777" w:rsidR="001C7883" w:rsidRPr="00DE1AF5" w:rsidRDefault="001C7883" w:rsidP="00DE1AF5">
      <w:pPr>
        <w:spacing w:after="200"/>
        <w:jc w:val="both"/>
        <w:rPr>
          <w:rFonts w:ascii="Noto Sans JP" w:eastAsia="Noto Sans JP" w:hAnsi="Noto Sans JP"/>
        </w:rPr>
      </w:pPr>
    </w:p>
    <w:p w14:paraId="4A9CDCA4" w14:textId="77777777" w:rsidR="001C7883" w:rsidRPr="00DE1AF5" w:rsidRDefault="002E4D15" w:rsidP="00DE1AF5">
      <w:pPr>
        <w:spacing w:after="160" w:line="280" w:lineRule="auto"/>
        <w:jc w:val="both"/>
        <w:rPr>
          <w:rFonts w:ascii="Noto Sans JP" w:eastAsia="Noto Sans JP" w:hAnsi="Noto Sans JP"/>
        </w:rPr>
      </w:pPr>
      <w:r w:rsidRPr="00DE1AF5">
        <w:rPr>
          <w:rFonts w:ascii="Noto Sans JP" w:eastAsia="Noto Sans JP" w:hAnsi="Noto Sans JP"/>
          <w:i/>
          <w:iCs/>
          <w:color w:val="595959"/>
          <w:sz w:val="20"/>
          <w:szCs w:val="20"/>
        </w:rPr>
        <w:t>※ CQ番号はJSTMCT「科学的根拠に基づいたアルブミン製剤の使用ガイドライン（改訂第3版）」（日本輸血細胞治療学会誌 70巻3号406-430頁, 2024）に対応する。グレード表記の（1）（2）等は同ガイドライン内の推奨番号に対応する。</w:t>
      </w:r>
    </w:p>
    <w:p w14:paraId="7EC96507"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4.1.1 要注意：エビデンスに乏しいにもかかわらず慣習的に使用されやすい病態</w:t>
      </w:r>
    </w:p>
    <w:p w14:paraId="0F35BB80"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以下の病態は、かつて広く行われていた、あるいは「重症患者・低栄養＝アルブミン」という直感的な発想から、現在も慣習的に投与が継続されやすい代表例である。いずれも最新のエビデンスでは有効性が否定的、または明確な害（予後悪化等）が示されているため、院内での使用実態を点検する際に特に注目すべき項目として提示する。</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2650"/>
        <w:gridCol w:w="2350"/>
        <w:gridCol w:w="2450"/>
      </w:tblGrid>
      <w:tr w:rsidR="001C7883" w:rsidRPr="00DE1AF5" w14:paraId="6AEBE301" w14:textId="77777777">
        <w:trPr>
          <w:tblHeader/>
        </w:trPr>
        <w:tc>
          <w:tcPr>
            <w:tcW w:w="1900" w:type="dxa"/>
            <w:shd w:val="clear" w:color="auto" w:fill="A93226"/>
            <w:tcMar>
              <w:top w:w="80" w:type="dxa"/>
              <w:left w:w="90" w:type="dxa"/>
              <w:bottom w:w="80" w:type="dxa"/>
              <w:right w:w="90" w:type="dxa"/>
            </w:tcMar>
          </w:tcPr>
          <w:p w14:paraId="1B66DE04"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病態（CQ）</w:t>
            </w:r>
          </w:p>
        </w:tc>
        <w:tc>
          <w:tcPr>
            <w:tcW w:w="2650" w:type="dxa"/>
            <w:shd w:val="clear" w:color="auto" w:fill="A93226"/>
            <w:tcMar>
              <w:top w:w="80" w:type="dxa"/>
              <w:left w:w="90" w:type="dxa"/>
              <w:bottom w:w="80" w:type="dxa"/>
              <w:right w:w="90" w:type="dxa"/>
            </w:tcMar>
          </w:tcPr>
          <w:p w14:paraId="546001FD"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従来の慣習的な使用理由</w:t>
            </w:r>
          </w:p>
        </w:tc>
        <w:tc>
          <w:tcPr>
            <w:tcW w:w="2350" w:type="dxa"/>
            <w:shd w:val="clear" w:color="auto" w:fill="A93226"/>
            <w:tcMar>
              <w:top w:w="80" w:type="dxa"/>
              <w:left w:w="90" w:type="dxa"/>
              <w:bottom w:w="80" w:type="dxa"/>
              <w:right w:w="90" w:type="dxa"/>
            </w:tcMar>
          </w:tcPr>
          <w:p w14:paraId="02392C24"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現在のエビデンス・推奨</w:t>
            </w:r>
          </w:p>
        </w:tc>
        <w:tc>
          <w:tcPr>
            <w:tcW w:w="2450" w:type="dxa"/>
            <w:shd w:val="clear" w:color="auto" w:fill="A93226"/>
            <w:tcMar>
              <w:top w:w="80" w:type="dxa"/>
              <w:left w:w="90" w:type="dxa"/>
              <w:bottom w:w="80" w:type="dxa"/>
              <w:right w:w="90" w:type="dxa"/>
            </w:tcMar>
          </w:tcPr>
          <w:p w14:paraId="665F23C3"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実務上の注意</w:t>
            </w:r>
          </w:p>
        </w:tc>
      </w:tr>
      <w:tr w:rsidR="001C7883" w:rsidRPr="00DE1AF5" w14:paraId="3F7EC9D8" w14:textId="77777777">
        <w:tc>
          <w:tcPr>
            <w:tcW w:w="1900" w:type="dxa"/>
            <w:shd w:val="clear" w:color="auto" w:fill="FCE4E1"/>
            <w:tcMar>
              <w:top w:w="80" w:type="dxa"/>
              <w:left w:w="90" w:type="dxa"/>
              <w:bottom w:w="80" w:type="dxa"/>
              <w:right w:w="90" w:type="dxa"/>
            </w:tcMar>
          </w:tcPr>
          <w:p w14:paraId="7670952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循環血液量減少性ショックでの単純な体液補充（CQ1(1)）</w:t>
            </w:r>
          </w:p>
        </w:tc>
        <w:tc>
          <w:tcPr>
            <w:tcW w:w="2650" w:type="dxa"/>
            <w:tcMar>
              <w:top w:w="80" w:type="dxa"/>
              <w:left w:w="90" w:type="dxa"/>
              <w:bottom w:w="80" w:type="dxa"/>
              <w:right w:w="90" w:type="dxa"/>
            </w:tcMar>
          </w:tcPr>
          <w:p w14:paraId="5817A3E8"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「出血・脱水＝アルブミン」という古典的な発想で、晶質液より先に選択されがちだった</w:t>
            </w:r>
          </w:p>
        </w:tc>
        <w:tc>
          <w:tcPr>
            <w:tcW w:w="2350" w:type="dxa"/>
            <w:tcMar>
              <w:top w:w="80" w:type="dxa"/>
              <w:left w:w="90" w:type="dxa"/>
              <w:bottom w:w="80" w:type="dxa"/>
              <w:right w:w="90" w:type="dxa"/>
            </w:tcMar>
          </w:tcPr>
          <w:p w14:paraId="1DF7DCE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1A（使用しないことについての強い推奨）。死亡率改善効果は示されていない</w:t>
            </w:r>
          </w:p>
        </w:tc>
        <w:tc>
          <w:tcPr>
            <w:tcW w:w="2450" w:type="dxa"/>
            <w:tcMar>
              <w:top w:w="80" w:type="dxa"/>
              <w:left w:w="90" w:type="dxa"/>
              <w:bottom w:w="80" w:type="dxa"/>
              <w:right w:w="90" w:type="dxa"/>
            </w:tcMar>
          </w:tcPr>
          <w:p w14:paraId="48E2CA7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第一選択は晶質液。アルブミンは病態を考慮した膠質液の選択肢の一つに過ぎない（2B）</w:t>
            </w:r>
          </w:p>
        </w:tc>
      </w:tr>
      <w:tr w:rsidR="001C7883" w:rsidRPr="00DE1AF5" w14:paraId="3D2DE3D8" w14:textId="77777777">
        <w:tc>
          <w:tcPr>
            <w:tcW w:w="1900" w:type="dxa"/>
            <w:shd w:val="clear" w:color="auto" w:fill="FCE4E1"/>
            <w:tcMar>
              <w:top w:w="80" w:type="dxa"/>
              <w:left w:w="90" w:type="dxa"/>
              <w:bottom w:w="80" w:type="dxa"/>
              <w:right w:w="90" w:type="dxa"/>
            </w:tcMar>
          </w:tcPr>
          <w:p w14:paraId="7E12324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敗血症の初期輸液（CQ2(1)）</w:t>
            </w:r>
          </w:p>
        </w:tc>
        <w:tc>
          <w:tcPr>
            <w:tcW w:w="2650" w:type="dxa"/>
            <w:tcMar>
              <w:top w:w="80" w:type="dxa"/>
              <w:left w:w="90" w:type="dxa"/>
              <w:bottom w:w="80" w:type="dxa"/>
              <w:right w:w="90" w:type="dxa"/>
            </w:tcMar>
          </w:tcPr>
          <w:p w14:paraId="1B20446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「重症患者にはアルブミン」という慣習が根強く、初期蘇生から投与されがちだった</w:t>
            </w:r>
          </w:p>
        </w:tc>
        <w:tc>
          <w:tcPr>
            <w:tcW w:w="2350" w:type="dxa"/>
            <w:tcMar>
              <w:top w:w="80" w:type="dxa"/>
              <w:left w:w="90" w:type="dxa"/>
              <w:bottom w:w="80" w:type="dxa"/>
              <w:right w:w="90" w:type="dxa"/>
            </w:tcMar>
          </w:tcPr>
          <w:p w14:paraId="3FEC350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1B（使用しないことについての推奨）。晶質液と比べ死亡率改善効果なし</w:t>
            </w:r>
          </w:p>
        </w:tc>
        <w:tc>
          <w:tcPr>
            <w:tcW w:w="2450" w:type="dxa"/>
            <w:tcMar>
              <w:top w:w="80" w:type="dxa"/>
              <w:left w:w="90" w:type="dxa"/>
              <w:bottom w:w="80" w:type="dxa"/>
              <w:right w:w="90" w:type="dxa"/>
            </w:tcMar>
          </w:tcPr>
          <w:p w14:paraId="63BBF83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大量の晶質液輸液が必要になった場合に限り、補助的に考慮する（2C）</w:t>
            </w:r>
          </w:p>
        </w:tc>
      </w:tr>
      <w:tr w:rsidR="001C7883" w:rsidRPr="00DE1AF5" w14:paraId="79F12F07" w14:textId="77777777">
        <w:tc>
          <w:tcPr>
            <w:tcW w:w="1900" w:type="dxa"/>
            <w:shd w:val="clear" w:color="auto" w:fill="FCE4E1"/>
            <w:tcMar>
              <w:top w:w="80" w:type="dxa"/>
              <w:left w:w="90" w:type="dxa"/>
              <w:bottom w:w="80" w:type="dxa"/>
              <w:right w:w="90" w:type="dxa"/>
            </w:tcMar>
          </w:tcPr>
          <w:p w14:paraId="248AA019"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外傷性脳損傷の輸液蘇生（CQ9(1)）</w:t>
            </w:r>
          </w:p>
        </w:tc>
        <w:tc>
          <w:tcPr>
            <w:tcW w:w="2650" w:type="dxa"/>
            <w:tcMar>
              <w:top w:w="80" w:type="dxa"/>
              <w:left w:w="90" w:type="dxa"/>
              <w:bottom w:w="80" w:type="dxa"/>
              <w:right w:w="90" w:type="dxa"/>
            </w:tcMar>
          </w:tcPr>
          <w:p w14:paraId="752CB59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循環維持を目的に広く投与されていた時期があった</w:t>
            </w:r>
          </w:p>
        </w:tc>
        <w:tc>
          <w:tcPr>
            <w:tcW w:w="2350" w:type="dxa"/>
            <w:tcMar>
              <w:top w:w="80" w:type="dxa"/>
              <w:left w:w="90" w:type="dxa"/>
              <w:bottom w:w="80" w:type="dxa"/>
              <w:right w:w="90" w:type="dxa"/>
            </w:tcMar>
          </w:tcPr>
          <w:p w14:paraId="4F408D19"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1B（使用しないことについての推奨）。むしろ予後を悪化させる可能性（JSTMCT 2024 CQ9・SAFE-TBIサブ解析）</w:t>
            </w:r>
          </w:p>
        </w:tc>
        <w:tc>
          <w:tcPr>
            <w:tcW w:w="2450" w:type="dxa"/>
            <w:tcMar>
              <w:top w:w="80" w:type="dxa"/>
              <w:left w:w="90" w:type="dxa"/>
              <w:bottom w:w="80" w:type="dxa"/>
              <w:right w:w="90" w:type="dxa"/>
            </w:tcMar>
          </w:tcPr>
          <w:p w14:paraId="7A71C72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特に見落とされやすい安全性シグナル。頭部外傷例では使用しない</w:t>
            </w:r>
          </w:p>
        </w:tc>
      </w:tr>
      <w:tr w:rsidR="001C7883" w:rsidRPr="00DE1AF5" w14:paraId="0FFE30FF" w14:textId="77777777">
        <w:tc>
          <w:tcPr>
            <w:tcW w:w="1900" w:type="dxa"/>
            <w:shd w:val="clear" w:color="auto" w:fill="FCE4E1"/>
            <w:tcMar>
              <w:top w:w="80" w:type="dxa"/>
              <w:left w:w="90" w:type="dxa"/>
              <w:bottom w:w="80" w:type="dxa"/>
              <w:right w:w="90" w:type="dxa"/>
            </w:tcMar>
          </w:tcPr>
          <w:p w14:paraId="34A60B1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lastRenderedPageBreak/>
              <w:t>人工心肺充填液への添加（CQ10(1)）</w:t>
            </w:r>
          </w:p>
        </w:tc>
        <w:tc>
          <w:tcPr>
            <w:tcW w:w="2650" w:type="dxa"/>
            <w:tcMar>
              <w:top w:w="80" w:type="dxa"/>
              <w:left w:w="90" w:type="dxa"/>
              <w:bottom w:w="80" w:type="dxa"/>
              <w:right w:w="90" w:type="dxa"/>
            </w:tcMar>
          </w:tcPr>
          <w:p w14:paraId="610357D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浮腫予防目的でルーチンに添加する慣行が多くの施設にあった</w:t>
            </w:r>
          </w:p>
        </w:tc>
        <w:tc>
          <w:tcPr>
            <w:tcW w:w="2350" w:type="dxa"/>
            <w:tcMar>
              <w:top w:w="80" w:type="dxa"/>
              <w:left w:w="90" w:type="dxa"/>
              <w:bottom w:w="80" w:type="dxa"/>
              <w:right w:w="90" w:type="dxa"/>
            </w:tcMar>
          </w:tcPr>
          <w:p w14:paraId="584D32E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2B（使用しないことについての推奨）。全身状態良好・短時間手術では不要</w:t>
            </w:r>
          </w:p>
        </w:tc>
        <w:tc>
          <w:tcPr>
            <w:tcW w:w="2450" w:type="dxa"/>
            <w:tcMar>
              <w:top w:w="80" w:type="dxa"/>
              <w:left w:w="90" w:type="dxa"/>
              <w:bottom w:w="80" w:type="dxa"/>
              <w:right w:w="90" w:type="dxa"/>
            </w:tcMar>
          </w:tcPr>
          <w:p w14:paraId="24A6044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小児例（人工心肺時間が長い等）に限り高張製剤の追加を考慮（2B）</w:t>
            </w:r>
          </w:p>
        </w:tc>
      </w:tr>
      <w:tr w:rsidR="001C7883" w:rsidRPr="00DE1AF5" w14:paraId="28EEAF86" w14:textId="77777777">
        <w:tc>
          <w:tcPr>
            <w:tcW w:w="1900" w:type="dxa"/>
            <w:shd w:val="clear" w:color="auto" w:fill="FCE4E1"/>
            <w:tcMar>
              <w:top w:w="80" w:type="dxa"/>
              <w:left w:w="90" w:type="dxa"/>
              <w:bottom w:w="80" w:type="dxa"/>
              <w:right w:w="90" w:type="dxa"/>
            </w:tcMar>
          </w:tcPr>
          <w:p w14:paraId="25AA520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周術期の安定期低アルブミン血症（CQ11）</w:t>
            </w:r>
          </w:p>
        </w:tc>
        <w:tc>
          <w:tcPr>
            <w:tcW w:w="2650" w:type="dxa"/>
            <w:tcMar>
              <w:top w:w="80" w:type="dxa"/>
              <w:left w:w="90" w:type="dxa"/>
              <w:bottom w:w="80" w:type="dxa"/>
              <w:right w:w="90" w:type="dxa"/>
            </w:tcMar>
          </w:tcPr>
          <w:p w14:paraId="12196A2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「低Alb値＝要補正」という数値主導の判断で予防的に投与されがちだった</w:t>
            </w:r>
          </w:p>
        </w:tc>
        <w:tc>
          <w:tcPr>
            <w:tcW w:w="2350" w:type="dxa"/>
            <w:tcMar>
              <w:top w:w="80" w:type="dxa"/>
              <w:left w:w="90" w:type="dxa"/>
              <w:bottom w:w="80" w:type="dxa"/>
              <w:right w:w="90" w:type="dxa"/>
            </w:tcMar>
          </w:tcPr>
          <w:p w14:paraId="740B0A7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2C（使用しないことについての推奨）。血清アルブミン値の回復・転帰への影響は示されていない</w:t>
            </w:r>
          </w:p>
        </w:tc>
        <w:tc>
          <w:tcPr>
            <w:tcW w:w="2450" w:type="dxa"/>
            <w:tcMar>
              <w:top w:w="80" w:type="dxa"/>
              <w:left w:w="90" w:type="dxa"/>
              <w:bottom w:w="80" w:type="dxa"/>
              <w:right w:w="90" w:type="dxa"/>
            </w:tcMar>
          </w:tcPr>
          <w:p w14:paraId="669CD04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循環動態が安定している限り、数値のみでの投与開始は不適正使用の典型例</w:t>
            </w:r>
          </w:p>
        </w:tc>
      </w:tr>
      <w:tr w:rsidR="001C7883" w:rsidRPr="00DE1AF5" w14:paraId="0112497F" w14:textId="77777777">
        <w:tc>
          <w:tcPr>
            <w:tcW w:w="1900" w:type="dxa"/>
            <w:shd w:val="clear" w:color="auto" w:fill="FCE4E1"/>
            <w:tcMar>
              <w:top w:w="80" w:type="dxa"/>
              <w:left w:w="90" w:type="dxa"/>
              <w:bottom w:w="80" w:type="dxa"/>
              <w:right w:w="90" w:type="dxa"/>
            </w:tcMar>
          </w:tcPr>
          <w:p w14:paraId="67D073F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蛋白源としての栄養補給（CQ12）</w:t>
            </w:r>
          </w:p>
        </w:tc>
        <w:tc>
          <w:tcPr>
            <w:tcW w:w="2650" w:type="dxa"/>
            <w:tcMar>
              <w:top w:w="80" w:type="dxa"/>
              <w:left w:w="90" w:type="dxa"/>
              <w:bottom w:w="80" w:type="dxa"/>
              <w:right w:w="90" w:type="dxa"/>
            </w:tcMar>
          </w:tcPr>
          <w:p w14:paraId="42FD546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低栄養・低Alb血症の患者に「栄養補助」として投与される慣習が根強い</w:t>
            </w:r>
          </w:p>
        </w:tc>
        <w:tc>
          <w:tcPr>
            <w:tcW w:w="2350" w:type="dxa"/>
            <w:tcMar>
              <w:top w:w="80" w:type="dxa"/>
              <w:left w:w="90" w:type="dxa"/>
              <w:bottom w:w="80" w:type="dxa"/>
              <w:right w:w="90" w:type="dxa"/>
            </w:tcMar>
          </w:tcPr>
          <w:p w14:paraId="0B9B9118"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2C（使用しないことについての推奨）。アルブミンは必須アミノ酸に乏しく栄養学的意義はない</w:t>
            </w:r>
          </w:p>
        </w:tc>
        <w:tc>
          <w:tcPr>
            <w:tcW w:w="2450" w:type="dxa"/>
            <w:tcMar>
              <w:top w:w="80" w:type="dxa"/>
              <w:left w:w="90" w:type="dxa"/>
              <w:bottom w:w="80" w:type="dxa"/>
              <w:right w:w="90" w:type="dxa"/>
            </w:tcMar>
          </w:tcPr>
          <w:p w14:paraId="6A19F67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経腸栄養・経静脈栄養によるアミノ酸補給を優先。アルブミン投与では代替できない</w:t>
            </w:r>
          </w:p>
        </w:tc>
      </w:tr>
      <w:tr w:rsidR="001C7883" w:rsidRPr="00DE1AF5" w14:paraId="0AF941D8" w14:textId="77777777">
        <w:tc>
          <w:tcPr>
            <w:tcW w:w="1900" w:type="dxa"/>
            <w:shd w:val="clear" w:color="auto" w:fill="FCE4E1"/>
            <w:tcMar>
              <w:top w:w="80" w:type="dxa"/>
              <w:left w:w="90" w:type="dxa"/>
              <w:bottom w:w="80" w:type="dxa"/>
              <w:right w:w="90" w:type="dxa"/>
            </w:tcMar>
          </w:tcPr>
          <w:p w14:paraId="359A3B1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終末期患者への投与（CQ13）</w:t>
            </w:r>
          </w:p>
        </w:tc>
        <w:tc>
          <w:tcPr>
            <w:tcW w:w="2650" w:type="dxa"/>
            <w:tcMar>
              <w:top w:w="80" w:type="dxa"/>
              <w:left w:w="90" w:type="dxa"/>
              <w:bottom w:w="80" w:type="dxa"/>
              <w:right w:w="90" w:type="dxa"/>
            </w:tcMar>
          </w:tcPr>
          <w:p w14:paraId="78D8E24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浮腫緩和や「できることはする」という配慮から投与されることがある</w:t>
            </w:r>
          </w:p>
        </w:tc>
        <w:tc>
          <w:tcPr>
            <w:tcW w:w="2350" w:type="dxa"/>
            <w:tcMar>
              <w:top w:w="80" w:type="dxa"/>
              <w:left w:w="90" w:type="dxa"/>
              <w:bottom w:w="80" w:type="dxa"/>
              <w:right w:w="90" w:type="dxa"/>
            </w:tcMar>
          </w:tcPr>
          <w:p w14:paraId="336DA0B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2C（使用しないことについての推奨）。予後改善効果はなく、感染症頻度増加の懸念も報告</w:t>
            </w:r>
          </w:p>
        </w:tc>
        <w:tc>
          <w:tcPr>
            <w:tcW w:w="2450" w:type="dxa"/>
            <w:tcMar>
              <w:top w:w="80" w:type="dxa"/>
              <w:left w:w="90" w:type="dxa"/>
              <w:bottom w:w="80" w:type="dxa"/>
              <w:right w:w="90" w:type="dxa"/>
            </w:tcMar>
          </w:tcPr>
          <w:p w14:paraId="0FBAC3E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緩和ケアの観点からも、漫然投与は避け、対症療法（利尿薬等）を優先する</w:t>
            </w:r>
          </w:p>
        </w:tc>
      </w:tr>
    </w:tbl>
    <w:p w14:paraId="175FAA4D" w14:textId="77777777" w:rsidR="001C7883" w:rsidRPr="00DE1AF5" w:rsidRDefault="001C7883" w:rsidP="00DE1AF5">
      <w:pPr>
        <w:spacing w:after="160"/>
        <w:jc w:val="both"/>
        <w:rPr>
          <w:rFonts w:ascii="Noto Sans JP" w:eastAsia="Noto Sans JP" w:hAnsi="Noto Sans JP"/>
        </w:rPr>
      </w:pPr>
    </w:p>
    <w:p w14:paraId="4C15139B" w14:textId="77777777" w:rsidR="001C7883" w:rsidRPr="00DE1AF5" w:rsidRDefault="002E4D15" w:rsidP="00DE1AF5">
      <w:pPr>
        <w:spacing w:after="160" w:line="280" w:lineRule="auto"/>
        <w:jc w:val="both"/>
        <w:rPr>
          <w:rFonts w:ascii="Noto Sans JP" w:eastAsia="Noto Sans JP" w:hAnsi="Noto Sans JP"/>
        </w:rPr>
      </w:pPr>
      <w:r w:rsidRPr="00DE1AF5">
        <w:rPr>
          <w:rFonts w:ascii="Noto Sans JP" w:eastAsia="Noto Sans JP" w:hAnsi="Noto Sans JP"/>
          <w:i/>
          <w:iCs/>
          <w:color w:val="595959"/>
          <w:sz w:val="20"/>
          <w:szCs w:val="20"/>
        </w:rPr>
        <w:t>※ このリストは「使用してはならない」という一覧ではなく、慣習で漫然と継続しやすいために院内監査（7.2節）で重点的に確認すべき項目という位置づけである。</w:t>
      </w:r>
    </w:p>
    <w:p w14:paraId="5F9DEDA9"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4.2 投与開始時の必須記載事項</w:t>
      </w:r>
    </w:p>
    <w:p w14:paraId="48B349C1"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投与を開始する際は、診療録に以下を必ず記載する。これにより中止基準の判定を担当医の主観に依存させない。</w:t>
      </w:r>
    </w:p>
    <w:p w14:paraId="2121576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投与の適応（表2のいずれに該当するか）</w:t>
      </w:r>
    </w:p>
    <w:p w14:paraId="17226ED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投与量・投与速度・製剤濃度（等張／高張）の選択理由</w:t>
      </w:r>
    </w:p>
    <w:p w14:paraId="1F03344E"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目標値（例：循環動態指標、尿量、血清アルブミン値等）</w:t>
      </w:r>
    </w:p>
    <w:p w14:paraId="58FA5406" w14:textId="77777777" w:rsidR="001C7883" w:rsidRPr="00DE1AF5" w:rsidRDefault="002E4D15" w:rsidP="00DE1AF5">
      <w:pPr>
        <w:pStyle w:val="a4"/>
        <w:numPr>
          <w:ilvl w:val="0"/>
          <w:numId w:val="2"/>
        </w:numPr>
        <w:spacing w:after="80" w:line="280" w:lineRule="auto"/>
        <w:jc w:val="both"/>
        <w:rPr>
          <w:rFonts w:ascii="Noto Sans JP" w:eastAsia="Noto Sans JP" w:hAnsi="Noto Sans JP"/>
          <w:lang w:eastAsia="zh-CN"/>
        </w:rPr>
      </w:pPr>
      <w:r w:rsidRPr="00DE1AF5">
        <w:rPr>
          <w:rFonts w:ascii="Noto Sans JP" w:eastAsia="Noto Sans JP" w:hAnsi="Noto Sans JP"/>
          <w:lang w:eastAsia="zh-CN"/>
        </w:rPr>
        <w:t>再評価予定時点（例：投与開始48時間後）</w:t>
      </w:r>
    </w:p>
    <w:p w14:paraId="16765328"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中止を検討する条件（下記4.3の該当項目）</w:t>
      </w:r>
    </w:p>
    <w:p w14:paraId="5460EB5D"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4.3 中止基準（本指針の中核)</w:t>
      </w:r>
    </w:p>
    <w:p w14:paraId="253233B7"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以下のいずれかに該当する場合は投与継続の妥当性を再検討し、原則として中止する。中止判断は主治医個人ではなく、可能な限り病棟カンファレンスまたは薬剤師・輸血部門を交えた場で確認する。項目によっては直接的なRCTエビデンスではなく、施設内運用ルール（コンセンサス）に基づくものを含む。</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450"/>
        <w:gridCol w:w="2000"/>
        <w:gridCol w:w="2000"/>
      </w:tblGrid>
      <w:tr w:rsidR="001C7883" w:rsidRPr="00DE1AF5" w14:paraId="3A7FBF49" w14:textId="77777777">
        <w:trPr>
          <w:tblHeader/>
        </w:trPr>
        <w:tc>
          <w:tcPr>
            <w:tcW w:w="1900" w:type="dxa"/>
            <w:shd w:val="clear" w:color="auto" w:fill="1F3864"/>
            <w:tcMar>
              <w:top w:w="80" w:type="dxa"/>
              <w:left w:w="90" w:type="dxa"/>
              <w:bottom w:w="80" w:type="dxa"/>
              <w:right w:w="90" w:type="dxa"/>
            </w:tcMar>
          </w:tcPr>
          <w:p w14:paraId="11F6C0A9"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lastRenderedPageBreak/>
              <w:t>区分</w:t>
            </w:r>
          </w:p>
        </w:tc>
        <w:tc>
          <w:tcPr>
            <w:tcW w:w="3450" w:type="dxa"/>
            <w:shd w:val="clear" w:color="auto" w:fill="1F3864"/>
            <w:tcMar>
              <w:top w:w="80" w:type="dxa"/>
              <w:left w:w="90" w:type="dxa"/>
              <w:bottom w:w="80" w:type="dxa"/>
              <w:right w:w="90" w:type="dxa"/>
            </w:tcMar>
          </w:tcPr>
          <w:p w14:paraId="4249CA51"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中止基準（目安)</w:t>
            </w:r>
          </w:p>
        </w:tc>
        <w:tc>
          <w:tcPr>
            <w:tcW w:w="2000" w:type="dxa"/>
            <w:shd w:val="clear" w:color="auto" w:fill="1F3864"/>
            <w:tcMar>
              <w:top w:w="80" w:type="dxa"/>
              <w:left w:w="90" w:type="dxa"/>
              <w:bottom w:w="80" w:type="dxa"/>
              <w:right w:w="90" w:type="dxa"/>
            </w:tcMar>
          </w:tcPr>
          <w:p w14:paraId="23E364BD"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備考</w:t>
            </w:r>
          </w:p>
        </w:tc>
        <w:tc>
          <w:tcPr>
            <w:tcW w:w="2000" w:type="dxa"/>
            <w:shd w:val="clear" w:color="auto" w:fill="1F3864"/>
            <w:tcMar>
              <w:top w:w="80" w:type="dxa"/>
              <w:left w:w="90" w:type="dxa"/>
              <w:bottom w:w="80" w:type="dxa"/>
              <w:right w:w="90" w:type="dxa"/>
            </w:tcMar>
          </w:tcPr>
          <w:p w14:paraId="659C5BEF"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根拠・エビデンス</w:t>
            </w:r>
          </w:p>
        </w:tc>
      </w:tr>
      <w:tr w:rsidR="001C7883" w:rsidRPr="00DE1AF5" w14:paraId="6375495E" w14:textId="77777777">
        <w:tc>
          <w:tcPr>
            <w:tcW w:w="1900" w:type="dxa"/>
            <w:shd w:val="clear" w:color="auto" w:fill="DCE6F1"/>
            <w:tcMar>
              <w:top w:w="80" w:type="dxa"/>
              <w:left w:w="90" w:type="dxa"/>
              <w:bottom w:w="80" w:type="dxa"/>
              <w:right w:w="90" w:type="dxa"/>
            </w:tcMar>
          </w:tcPr>
          <w:p w14:paraId="51DA16BB"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目標達成</w:t>
            </w:r>
          </w:p>
        </w:tc>
        <w:tc>
          <w:tcPr>
            <w:tcW w:w="3450" w:type="dxa"/>
            <w:tcMar>
              <w:top w:w="80" w:type="dxa"/>
              <w:left w:w="90" w:type="dxa"/>
              <w:bottom w:w="80" w:type="dxa"/>
              <w:right w:w="90" w:type="dxa"/>
            </w:tcMar>
          </w:tcPr>
          <w:p w14:paraId="36A6DB27"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血清アルブミン値・循環動態・尿量等、開始時に設定した目標値に到達</w:t>
            </w:r>
          </w:p>
        </w:tc>
        <w:tc>
          <w:tcPr>
            <w:tcW w:w="2000" w:type="dxa"/>
            <w:tcMar>
              <w:top w:w="80" w:type="dxa"/>
              <w:left w:w="90" w:type="dxa"/>
              <w:bottom w:w="80" w:type="dxa"/>
              <w:right w:w="90" w:type="dxa"/>
            </w:tcMar>
          </w:tcPr>
          <w:p w14:paraId="3A322B21"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目標値は開始時に文書化する</w:t>
            </w:r>
          </w:p>
        </w:tc>
        <w:tc>
          <w:tcPr>
            <w:tcW w:w="2000" w:type="dxa"/>
            <w:tcMar>
              <w:top w:w="80" w:type="dxa"/>
              <w:left w:w="90" w:type="dxa"/>
              <w:bottom w:w="80" w:type="dxa"/>
              <w:right w:w="90" w:type="dxa"/>
            </w:tcMar>
          </w:tcPr>
          <w:p w14:paraId="31AD612A"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施設内コンセンサス</w:t>
            </w:r>
            <w:r w:rsidRPr="00DE1AF5">
              <w:rPr>
                <w:rFonts w:ascii="Noto Sans JP" w:eastAsia="Noto Sans JP" w:hAnsi="Noto Sans JP"/>
                <w:sz w:val="19"/>
                <w:szCs w:val="19"/>
              </w:rPr>
              <w:br/>
              <w:t>（開始時に文書化した目標値に基づく）</w:t>
            </w:r>
          </w:p>
        </w:tc>
      </w:tr>
      <w:tr w:rsidR="001C7883" w:rsidRPr="00DE1AF5" w14:paraId="573DE306" w14:textId="77777777">
        <w:tc>
          <w:tcPr>
            <w:tcW w:w="1900" w:type="dxa"/>
            <w:shd w:val="clear" w:color="auto" w:fill="DCE6F1"/>
            <w:tcMar>
              <w:top w:w="80" w:type="dxa"/>
              <w:left w:w="90" w:type="dxa"/>
              <w:bottom w:w="80" w:type="dxa"/>
              <w:right w:w="90" w:type="dxa"/>
            </w:tcMar>
          </w:tcPr>
          <w:p w14:paraId="258C956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Time-limited trial 終了</w:t>
            </w:r>
          </w:p>
        </w:tc>
        <w:tc>
          <w:tcPr>
            <w:tcW w:w="3450" w:type="dxa"/>
            <w:tcMar>
              <w:top w:w="80" w:type="dxa"/>
              <w:left w:w="90" w:type="dxa"/>
              <w:bottom w:w="80" w:type="dxa"/>
              <w:right w:w="90" w:type="dxa"/>
            </w:tcMar>
          </w:tcPr>
          <w:p w14:paraId="1D4D879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敗血症性ショック等では48〜72時間を目安としたtrialを設定し、反応性を再評価</w:t>
            </w:r>
          </w:p>
        </w:tc>
        <w:tc>
          <w:tcPr>
            <w:tcW w:w="2000" w:type="dxa"/>
            <w:tcMar>
              <w:top w:w="80" w:type="dxa"/>
              <w:left w:w="90" w:type="dxa"/>
              <w:bottom w:w="80" w:type="dxa"/>
              <w:right w:w="90" w:type="dxa"/>
            </w:tcMar>
          </w:tcPr>
          <w:p w14:paraId="42574B2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反応不良なら継続の妥当性を再検討</w:t>
            </w:r>
          </w:p>
        </w:tc>
        <w:tc>
          <w:tcPr>
            <w:tcW w:w="2000" w:type="dxa"/>
            <w:tcMar>
              <w:top w:w="80" w:type="dxa"/>
              <w:left w:w="90" w:type="dxa"/>
              <w:bottom w:w="80" w:type="dxa"/>
              <w:right w:w="90" w:type="dxa"/>
            </w:tcMar>
          </w:tcPr>
          <w:p w14:paraId="29EBD457"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施設内コンセンサス</w:t>
            </w:r>
            <w:r w:rsidRPr="00DE1AF5">
              <w:rPr>
                <w:rFonts w:ascii="Noto Sans JP" w:eastAsia="Noto Sans JP" w:hAnsi="Noto Sans JP"/>
                <w:sz w:val="19"/>
                <w:szCs w:val="19"/>
              </w:rPr>
              <w:br/>
              <w:t>（SSC 2021のtrial的investigationの考え方を参考）</w:t>
            </w:r>
          </w:p>
        </w:tc>
      </w:tr>
      <w:tr w:rsidR="001C7883" w:rsidRPr="00DE1AF5" w14:paraId="061A59D9" w14:textId="77777777">
        <w:tc>
          <w:tcPr>
            <w:tcW w:w="1900" w:type="dxa"/>
            <w:shd w:val="clear" w:color="auto" w:fill="DCE6F1"/>
            <w:tcMar>
              <w:top w:w="80" w:type="dxa"/>
              <w:left w:w="90" w:type="dxa"/>
              <w:bottom w:w="80" w:type="dxa"/>
              <w:right w:w="90" w:type="dxa"/>
            </w:tcMar>
          </w:tcPr>
          <w:p w14:paraId="7C3B39B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病態の改善・離脱</w:t>
            </w:r>
          </w:p>
        </w:tc>
        <w:tc>
          <w:tcPr>
            <w:tcW w:w="3450" w:type="dxa"/>
            <w:tcMar>
              <w:top w:w="80" w:type="dxa"/>
              <w:left w:w="90" w:type="dxa"/>
              <w:bottom w:w="80" w:type="dxa"/>
              <w:right w:w="90" w:type="dxa"/>
            </w:tcMar>
          </w:tcPr>
          <w:p w14:paraId="072207D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循環動態が安定し血管作動薬を離脱、または利尿期に移行</w:t>
            </w:r>
          </w:p>
        </w:tc>
        <w:tc>
          <w:tcPr>
            <w:tcW w:w="2000" w:type="dxa"/>
            <w:tcMar>
              <w:top w:w="80" w:type="dxa"/>
              <w:left w:w="90" w:type="dxa"/>
              <w:bottom w:w="80" w:type="dxa"/>
              <w:right w:w="90" w:type="dxa"/>
            </w:tcMar>
          </w:tcPr>
          <w:p w14:paraId="3F93550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腹水患者ではSBP治療終了後の漫然投与を避ける</w:t>
            </w:r>
          </w:p>
        </w:tc>
        <w:tc>
          <w:tcPr>
            <w:tcW w:w="2000" w:type="dxa"/>
            <w:tcMar>
              <w:top w:w="80" w:type="dxa"/>
              <w:left w:w="90" w:type="dxa"/>
              <w:bottom w:w="80" w:type="dxa"/>
              <w:right w:w="90" w:type="dxa"/>
            </w:tcMar>
          </w:tcPr>
          <w:p w14:paraId="12313DBE"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Level A2（EASL 2018）</w:t>
            </w:r>
            <w:r w:rsidRPr="00DE1AF5">
              <w:rPr>
                <w:rFonts w:ascii="Noto Sans JP" w:eastAsia="Noto Sans JP" w:hAnsi="Noto Sans JP"/>
                <w:sz w:val="19"/>
                <w:szCs w:val="19"/>
              </w:rPr>
              <w:br/>
              <w:t>SBP治療終了後の継続投与に関するエビデンスなし</w:t>
            </w:r>
          </w:p>
        </w:tc>
      </w:tr>
      <w:tr w:rsidR="001C7883" w:rsidRPr="00DE1AF5" w14:paraId="5EB24514" w14:textId="77777777">
        <w:tc>
          <w:tcPr>
            <w:tcW w:w="1900" w:type="dxa"/>
            <w:shd w:val="clear" w:color="auto" w:fill="DCE6F1"/>
            <w:tcMar>
              <w:top w:w="80" w:type="dxa"/>
              <w:left w:w="90" w:type="dxa"/>
              <w:bottom w:w="80" w:type="dxa"/>
              <w:right w:w="90" w:type="dxa"/>
            </w:tcMar>
          </w:tcPr>
          <w:p w14:paraId="3BF599A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有害事象の出現</w:t>
            </w:r>
          </w:p>
        </w:tc>
        <w:tc>
          <w:tcPr>
            <w:tcW w:w="3450" w:type="dxa"/>
            <w:tcMar>
              <w:top w:w="80" w:type="dxa"/>
              <w:left w:w="90" w:type="dxa"/>
              <w:bottom w:w="80" w:type="dxa"/>
              <w:right w:w="90" w:type="dxa"/>
            </w:tcMar>
          </w:tcPr>
          <w:p w14:paraId="58152C08"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肺水腫・TACO疑い所見、アナフィラキシー様反応、体液過剰の徴候</w:t>
            </w:r>
          </w:p>
        </w:tc>
        <w:tc>
          <w:tcPr>
            <w:tcW w:w="2000" w:type="dxa"/>
            <w:tcMar>
              <w:top w:w="80" w:type="dxa"/>
              <w:left w:w="90" w:type="dxa"/>
              <w:bottom w:w="80" w:type="dxa"/>
              <w:right w:w="90" w:type="dxa"/>
            </w:tcMar>
          </w:tcPr>
          <w:p w14:paraId="3F4712D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直ちに中止し原因検索</w:t>
            </w:r>
          </w:p>
        </w:tc>
        <w:tc>
          <w:tcPr>
            <w:tcW w:w="2000" w:type="dxa"/>
            <w:tcMar>
              <w:top w:w="80" w:type="dxa"/>
              <w:left w:w="90" w:type="dxa"/>
              <w:bottom w:w="80" w:type="dxa"/>
              <w:right w:w="90" w:type="dxa"/>
            </w:tcMar>
          </w:tcPr>
          <w:p w14:paraId="24AB679A"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高（RCTで実証済）</w:t>
            </w:r>
            <w:r w:rsidRPr="00DE1AF5">
              <w:rPr>
                <w:rFonts w:ascii="Noto Sans JP" w:eastAsia="Noto Sans JP" w:hAnsi="Noto Sans JP"/>
                <w:sz w:val="19"/>
                <w:szCs w:val="19"/>
              </w:rPr>
              <w:br/>
              <w:t>ATTIRE trial：China L, et al. N Engl J Med. 2021;384:808-817（肺水腫等の重篤有害事象増加）</w:t>
            </w:r>
          </w:p>
        </w:tc>
      </w:tr>
      <w:tr w:rsidR="001C7883" w:rsidRPr="00DE1AF5" w14:paraId="5EC7DA79" w14:textId="77777777">
        <w:tc>
          <w:tcPr>
            <w:tcW w:w="1900" w:type="dxa"/>
            <w:shd w:val="clear" w:color="auto" w:fill="DCE6F1"/>
            <w:tcMar>
              <w:top w:w="80" w:type="dxa"/>
              <w:left w:w="90" w:type="dxa"/>
              <w:bottom w:w="80" w:type="dxa"/>
              <w:right w:w="90" w:type="dxa"/>
            </w:tcMar>
          </w:tcPr>
          <w:p w14:paraId="7810EAB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適応の消失</w:t>
            </w:r>
          </w:p>
        </w:tc>
        <w:tc>
          <w:tcPr>
            <w:tcW w:w="3450" w:type="dxa"/>
            <w:tcMar>
              <w:top w:w="80" w:type="dxa"/>
              <w:left w:w="90" w:type="dxa"/>
              <w:bottom w:w="80" w:type="dxa"/>
              <w:right w:w="90" w:type="dxa"/>
            </w:tcMar>
          </w:tcPr>
          <w:p w14:paraId="3C08DE7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低アルブミン血症のみを理由とした投与適応（他の是正手段がある場合)</w:t>
            </w:r>
          </w:p>
        </w:tc>
        <w:tc>
          <w:tcPr>
            <w:tcW w:w="2000" w:type="dxa"/>
            <w:tcMar>
              <w:top w:w="80" w:type="dxa"/>
              <w:left w:w="90" w:type="dxa"/>
              <w:bottom w:w="80" w:type="dxa"/>
              <w:right w:w="90" w:type="dxa"/>
            </w:tcMar>
          </w:tcPr>
          <w:p w14:paraId="3B4A9A59"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血清Alb値の是正のみを目的とした投与は原則行わない</w:t>
            </w:r>
          </w:p>
        </w:tc>
        <w:tc>
          <w:tcPr>
            <w:tcW w:w="2000" w:type="dxa"/>
            <w:tcMar>
              <w:top w:w="80" w:type="dxa"/>
              <w:left w:w="90" w:type="dxa"/>
              <w:bottom w:w="80" w:type="dxa"/>
              <w:right w:w="90" w:type="dxa"/>
            </w:tcMar>
          </w:tcPr>
          <w:p w14:paraId="3810277E"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中等度〜高</w:t>
            </w:r>
            <w:r w:rsidRPr="00DE1AF5">
              <w:rPr>
                <w:rFonts w:ascii="Noto Sans JP" w:eastAsia="Noto Sans JP" w:hAnsi="Noto Sans JP"/>
                <w:sz w:val="19"/>
                <w:szCs w:val="19"/>
              </w:rPr>
              <w:br/>
              <w:t>Cochrane系統的レビュー（表2参照）</w:t>
            </w:r>
          </w:p>
        </w:tc>
      </w:tr>
      <w:tr w:rsidR="001C7883" w:rsidRPr="00DE1AF5" w14:paraId="34C76983" w14:textId="77777777">
        <w:tc>
          <w:tcPr>
            <w:tcW w:w="1900" w:type="dxa"/>
            <w:shd w:val="clear" w:color="auto" w:fill="DCE6F1"/>
            <w:tcMar>
              <w:top w:w="80" w:type="dxa"/>
              <w:left w:w="90" w:type="dxa"/>
              <w:bottom w:w="80" w:type="dxa"/>
              <w:right w:w="90" w:type="dxa"/>
            </w:tcMar>
          </w:tcPr>
          <w:p w14:paraId="34153BA9"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再評価未達（定期レビュー)</w:t>
            </w:r>
          </w:p>
        </w:tc>
        <w:tc>
          <w:tcPr>
            <w:tcW w:w="3450" w:type="dxa"/>
            <w:tcMar>
              <w:top w:w="80" w:type="dxa"/>
              <w:left w:w="90" w:type="dxa"/>
              <w:bottom w:w="80" w:type="dxa"/>
              <w:right w:w="90" w:type="dxa"/>
            </w:tcMar>
          </w:tcPr>
          <w:p w14:paraId="2D9E84DB"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24〜48時間ごとの多職種レビューで継続根拠が明確化できない</w:t>
            </w:r>
          </w:p>
        </w:tc>
        <w:tc>
          <w:tcPr>
            <w:tcW w:w="2000" w:type="dxa"/>
            <w:tcMar>
              <w:top w:w="80" w:type="dxa"/>
              <w:left w:w="90" w:type="dxa"/>
              <w:bottom w:w="80" w:type="dxa"/>
              <w:right w:w="90" w:type="dxa"/>
            </w:tcMar>
          </w:tcPr>
          <w:p w14:paraId="355BA3D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担当医個人の判断に依存させない仕組み</w:t>
            </w:r>
          </w:p>
        </w:tc>
        <w:tc>
          <w:tcPr>
            <w:tcW w:w="2000" w:type="dxa"/>
            <w:tcMar>
              <w:top w:w="80" w:type="dxa"/>
              <w:left w:w="90" w:type="dxa"/>
              <w:bottom w:w="80" w:type="dxa"/>
              <w:right w:w="90" w:type="dxa"/>
            </w:tcMar>
          </w:tcPr>
          <w:p w14:paraId="17A87619"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施設内独自ルール（本指針の運用要件）</w:t>
            </w:r>
          </w:p>
        </w:tc>
      </w:tr>
    </w:tbl>
    <w:p w14:paraId="6127848E" w14:textId="77777777" w:rsidR="001C7883" w:rsidRPr="00DE1AF5" w:rsidRDefault="001C7883" w:rsidP="00DE1AF5">
      <w:pPr>
        <w:spacing w:after="160"/>
        <w:jc w:val="both"/>
        <w:rPr>
          <w:rFonts w:ascii="Noto Sans JP" w:eastAsia="Noto Sans JP" w:hAnsi="Noto Sans JP"/>
        </w:rPr>
      </w:pPr>
    </w:p>
    <w:p w14:paraId="44151DBE" w14:textId="77777777" w:rsidR="001C7883" w:rsidRPr="00DE1AF5" w:rsidRDefault="002E4D15" w:rsidP="00DE1AF5">
      <w:pPr>
        <w:spacing w:after="160" w:line="280" w:lineRule="auto"/>
        <w:jc w:val="both"/>
        <w:rPr>
          <w:rFonts w:ascii="Noto Sans JP" w:eastAsia="Noto Sans JP" w:hAnsi="Noto Sans JP"/>
        </w:rPr>
      </w:pPr>
      <w:r w:rsidRPr="00DE1AF5">
        <w:rPr>
          <w:rFonts w:ascii="Noto Sans JP" w:eastAsia="Noto Sans JP" w:hAnsi="Noto Sans JP"/>
          <w:i/>
          <w:iCs/>
          <w:color w:val="595959"/>
          <w:sz w:val="20"/>
          <w:szCs w:val="20"/>
        </w:rPr>
        <w:t>※ 血清アルブミン値の絶対値のみを中止・継続の唯一の基準とすることは推奨しない。循環動態・尿量・呼吸状態等の臨床所見と併せて総合的に判断する。</w:t>
      </w:r>
    </w:p>
    <w:p w14:paraId="7922D9E9"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4.4 定期レビュー（Time-limited trial の運用)</w:t>
      </w:r>
    </w:p>
    <w:p w14:paraId="490EC252"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特に敗血症性ショックなど反応性の個人差が大きい病態では、開始時に48〜72時間を目安とした評価期間（trial期間）を設定し、期間満了時に反応性（循環動態改善の有無等）を評価する。反応が乏しい場合は、漫然と継続せず中止または他の治療手段への切り替えを検討する。</w:t>
      </w:r>
    </w:p>
    <w:p w14:paraId="5641953C"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4.5 治療的血漿交換療法における使用（FFPの代替として）</w:t>
      </w:r>
    </w:p>
    <w:p w14:paraId="2D0709A5"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血漿交換療法（PE）は、血漿分離器で血球と血漿を分離し、病因物質を含む血漿を置換液で置き換える治療法である。凝固因子の補充を必要としない病態（自己免疫性神経疾患等）では、感染症予防の</w:t>
      </w:r>
      <w:r w:rsidRPr="00DE1AF5">
        <w:rPr>
          <w:rFonts w:ascii="Noto Sans JP" w:eastAsia="Noto Sans JP" w:hAnsi="Noto Sans JP"/>
        </w:rPr>
        <w:lastRenderedPageBreak/>
        <w:t>観点からFFPよりも希釈調整したアルブミン置換液の使用が推奨される（単純血漿交換療法・二重膜濾過血漿交換療法［DFPP］とも）。凝固因子の補充を要する病態（血栓性血小板減少性紫斑病、重症肝不全に伴う凝固障害等）ではFFPを選択する。</w:t>
      </w:r>
    </w:p>
    <w:p w14:paraId="0209D98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神経疾患（慢性炎症性脱髄性多発神経炎［CIDP］、ギラン・バレー症候群、急性重症筋無力症等）：等張もしくは希釈調整した高張アルブミン製剤を置換液としたPE（1回につき血漿の1〜1.5倍量）が推奨される（JSTMCT 2024 CQ6(1)：1A）。血漿置換とアルブミン置換の治療効果に差はなく、合併症頻度はアルブミン置換の方が低いとの報告がある。</w:t>
      </w:r>
    </w:p>
    <w:p w14:paraId="4EEB010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ABO型不適合移植の抗A・抗B抗体除去：免疫抑制剤併用下で、等張もしくは高張アルブミン製剤を希釈調整した置換液を用いたPEが推奨される（JSTMCT 2024 CQ6(2)：1B）。</w:t>
      </w:r>
    </w:p>
    <w:p w14:paraId="28938CD1"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上記以外の疾患（多発性硬化症の急性増悪、多発性骨髄腫・マクログロブリン血症等）：治療的PEは根本治療（薬物療法等）と比較して有効性が低く、効果は限定的かつ一過性であるため、これらを目的としたPEの使用は推奨されない（JSTMCT 2024 CQ6(3)：使用しないことについての推奨2C）。</w:t>
      </w:r>
    </w:p>
    <w:p w14:paraId="3F8DF08A"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加熱人血漿蛋白（PPF）は夾雑蛋白によるアナフィラキシー様反応（血圧低下等）のリスクがあるため、凝固因子補充を要さない治療的PEには原則として使用しない。</w:t>
      </w:r>
    </w:p>
    <w:p w14:paraId="2E0C1FA9"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4.6 病態別の使用継続・中止の判断材料</w:t>
      </w:r>
    </w:p>
    <w:p w14:paraId="22276393"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4.3の中止基準は病態を問わず共通して適用する枠組みだが、実際に「何をもって継続・中止を判断するか」は病態によって異なる。以下に主要な適応ごとの具体的な判断材料と評価のタイミングの目安を示す。担当医は該当する病態の欄を参照し、4.2で記載した目標値・再評価予定時点と併せて運用する。各判断材料の根拠となる出典を「根拠・出典」欄に付記した。特定のRCTが評価間隔そのものを規定しているわけではない項目は「施設内コンセンサス」と明記している。</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900"/>
        <w:gridCol w:w="1900"/>
        <w:gridCol w:w="2850"/>
      </w:tblGrid>
      <w:tr w:rsidR="001C7883" w:rsidRPr="00DE1AF5" w14:paraId="2B90C184" w14:textId="77777777">
        <w:trPr>
          <w:tblHeader/>
        </w:trPr>
        <w:tc>
          <w:tcPr>
            <w:tcW w:w="1700" w:type="dxa"/>
            <w:shd w:val="clear" w:color="auto" w:fill="1F3864"/>
            <w:tcMar>
              <w:top w:w="80" w:type="dxa"/>
              <w:left w:w="90" w:type="dxa"/>
              <w:bottom w:w="80" w:type="dxa"/>
              <w:right w:w="90" w:type="dxa"/>
            </w:tcMar>
          </w:tcPr>
          <w:p w14:paraId="5C23B553"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病態（CQ）</w:t>
            </w:r>
          </w:p>
        </w:tc>
        <w:tc>
          <w:tcPr>
            <w:tcW w:w="2900" w:type="dxa"/>
            <w:shd w:val="clear" w:color="auto" w:fill="1F3864"/>
            <w:tcMar>
              <w:top w:w="80" w:type="dxa"/>
              <w:left w:w="90" w:type="dxa"/>
              <w:bottom w:w="80" w:type="dxa"/>
              <w:right w:w="90" w:type="dxa"/>
            </w:tcMar>
          </w:tcPr>
          <w:p w14:paraId="60F01076"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使用継続・中止の主な判断材料</w:t>
            </w:r>
          </w:p>
        </w:tc>
        <w:tc>
          <w:tcPr>
            <w:tcW w:w="1900" w:type="dxa"/>
            <w:shd w:val="clear" w:color="auto" w:fill="1F3864"/>
            <w:tcMar>
              <w:top w:w="80" w:type="dxa"/>
              <w:left w:w="90" w:type="dxa"/>
              <w:bottom w:w="80" w:type="dxa"/>
              <w:right w:w="90" w:type="dxa"/>
            </w:tcMar>
          </w:tcPr>
          <w:p w14:paraId="74B45A80"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評価のタイミング（目安）</w:t>
            </w:r>
          </w:p>
        </w:tc>
        <w:tc>
          <w:tcPr>
            <w:tcW w:w="2850" w:type="dxa"/>
            <w:shd w:val="clear" w:color="auto" w:fill="1F3864"/>
            <w:tcMar>
              <w:top w:w="80" w:type="dxa"/>
              <w:left w:w="90" w:type="dxa"/>
              <w:bottom w:w="80" w:type="dxa"/>
              <w:right w:w="90" w:type="dxa"/>
            </w:tcMar>
          </w:tcPr>
          <w:p w14:paraId="4600E652"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根拠・出典</w:t>
            </w:r>
          </w:p>
        </w:tc>
      </w:tr>
      <w:tr w:rsidR="001C7883" w:rsidRPr="00DE1AF5" w14:paraId="7426751C" w14:textId="77777777">
        <w:tc>
          <w:tcPr>
            <w:tcW w:w="1700" w:type="dxa"/>
            <w:shd w:val="clear" w:color="auto" w:fill="DCE6F1"/>
            <w:tcMar>
              <w:top w:w="80" w:type="dxa"/>
              <w:left w:w="90" w:type="dxa"/>
              <w:bottom w:w="80" w:type="dxa"/>
              <w:right w:w="90" w:type="dxa"/>
            </w:tcMar>
          </w:tcPr>
          <w:p w14:paraId="6B5CA3BE"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特発性細菌性腹膜炎（CQ3-3）</w:t>
            </w:r>
          </w:p>
        </w:tc>
        <w:tc>
          <w:tcPr>
            <w:tcW w:w="2900" w:type="dxa"/>
            <w:tcMar>
              <w:top w:w="80" w:type="dxa"/>
              <w:left w:w="90" w:type="dxa"/>
              <w:bottom w:w="80" w:type="dxa"/>
              <w:right w:w="90" w:type="dxa"/>
            </w:tcMar>
          </w:tcPr>
          <w:p w14:paraId="5C02921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血清Cr・BUNの推移、発熱・腹痛等の感染徴候の改善、尿量</w:t>
            </w:r>
          </w:p>
        </w:tc>
        <w:tc>
          <w:tcPr>
            <w:tcW w:w="1900" w:type="dxa"/>
            <w:tcMar>
              <w:top w:w="80" w:type="dxa"/>
              <w:left w:w="90" w:type="dxa"/>
              <w:bottom w:w="80" w:type="dxa"/>
              <w:right w:w="90" w:type="dxa"/>
            </w:tcMar>
          </w:tcPr>
          <w:p w14:paraId="69ABE6CE"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診断後6時間以内の初回投与、3日目の2回目投与時に再評価。感染治療終了後は継続不要</w:t>
            </w:r>
          </w:p>
        </w:tc>
        <w:tc>
          <w:tcPr>
            <w:tcW w:w="2850" w:type="dxa"/>
            <w:tcMar>
              <w:top w:w="80" w:type="dxa"/>
              <w:left w:w="90" w:type="dxa"/>
              <w:bottom w:w="80" w:type="dxa"/>
              <w:right w:w="90" w:type="dxa"/>
            </w:tcMar>
          </w:tcPr>
          <w:p w14:paraId="02C2543E"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Salerno F, et al. Clin Gastroenterol Hepatol. 2013;11:123-130（SBPに関するメタ解析）</w:t>
            </w:r>
            <w:r w:rsidRPr="00DE1AF5">
              <w:rPr>
                <w:rFonts w:ascii="Noto Sans JP" w:eastAsia="Noto Sans JP" w:hAnsi="Noto Sans JP"/>
                <w:sz w:val="19"/>
                <w:szCs w:val="19"/>
              </w:rPr>
              <w:br/>
              <w:t>Sort P, et al. N Engl J Med. 1999;341:403-409</w:t>
            </w:r>
          </w:p>
        </w:tc>
      </w:tr>
      <w:tr w:rsidR="001C7883" w:rsidRPr="00DE1AF5" w14:paraId="5F0851D8" w14:textId="77777777">
        <w:tc>
          <w:tcPr>
            <w:tcW w:w="1700" w:type="dxa"/>
            <w:shd w:val="clear" w:color="auto" w:fill="DCE6F1"/>
            <w:tcMar>
              <w:top w:w="80" w:type="dxa"/>
              <w:left w:w="90" w:type="dxa"/>
              <w:bottom w:w="80" w:type="dxa"/>
              <w:right w:w="90" w:type="dxa"/>
            </w:tcMar>
          </w:tcPr>
          <w:p w14:paraId="0267A1EC"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大量腹水穿刺（CQ3-2）</w:t>
            </w:r>
          </w:p>
        </w:tc>
        <w:tc>
          <w:tcPr>
            <w:tcW w:w="2900" w:type="dxa"/>
            <w:tcMar>
              <w:top w:w="80" w:type="dxa"/>
              <w:left w:w="90" w:type="dxa"/>
              <w:bottom w:w="80" w:type="dxa"/>
              <w:right w:w="90" w:type="dxa"/>
            </w:tcMar>
          </w:tcPr>
          <w:p w14:paraId="5CBB90C2"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血清Na値、Cr値、循環動態（血圧・脈拍）— 穿刺誘発性循環不全（PPCD）の有無</w:t>
            </w:r>
          </w:p>
        </w:tc>
        <w:tc>
          <w:tcPr>
            <w:tcW w:w="1900" w:type="dxa"/>
            <w:tcMar>
              <w:top w:w="80" w:type="dxa"/>
              <w:left w:w="90" w:type="dxa"/>
              <w:bottom w:w="80" w:type="dxa"/>
              <w:right w:w="90" w:type="dxa"/>
            </w:tcMar>
          </w:tcPr>
          <w:p w14:paraId="22AD3AE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穿刺後24〜48時間以内に評価。単回投与で完結し、継続投与は原則不要</w:t>
            </w:r>
          </w:p>
        </w:tc>
        <w:tc>
          <w:tcPr>
            <w:tcW w:w="2850" w:type="dxa"/>
            <w:tcMar>
              <w:top w:w="80" w:type="dxa"/>
              <w:left w:w="90" w:type="dxa"/>
              <w:bottom w:w="80" w:type="dxa"/>
              <w:right w:w="90" w:type="dxa"/>
            </w:tcMar>
          </w:tcPr>
          <w:p w14:paraId="6AB93A8E"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Bernardi M, et al. Hepatology. 2012;55:1172-1181（PPCDに関するメタ解析）</w:t>
            </w:r>
          </w:p>
        </w:tc>
      </w:tr>
      <w:tr w:rsidR="001C7883" w:rsidRPr="00DE1AF5" w14:paraId="50FBB8EE" w14:textId="77777777">
        <w:tc>
          <w:tcPr>
            <w:tcW w:w="1700" w:type="dxa"/>
            <w:shd w:val="clear" w:color="auto" w:fill="DCE6F1"/>
            <w:tcMar>
              <w:top w:w="80" w:type="dxa"/>
              <w:left w:w="90" w:type="dxa"/>
              <w:bottom w:w="80" w:type="dxa"/>
              <w:right w:w="90" w:type="dxa"/>
            </w:tcMar>
          </w:tcPr>
          <w:p w14:paraId="5D38B9C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lastRenderedPageBreak/>
              <w:t>肝硬変に伴う急性腎障害／HRS-AKI（CQ3-4）</w:t>
            </w:r>
          </w:p>
        </w:tc>
        <w:tc>
          <w:tcPr>
            <w:tcW w:w="2900" w:type="dxa"/>
            <w:tcMar>
              <w:top w:w="80" w:type="dxa"/>
              <w:left w:w="90" w:type="dxa"/>
              <w:bottom w:w="80" w:type="dxa"/>
              <w:right w:w="90" w:type="dxa"/>
            </w:tcMar>
          </w:tcPr>
          <w:p w14:paraId="643B5610"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血清Cr値の推移（1.5mg/dL以下への改善を目安）、尿量、血管収縮薬への反応</w:t>
            </w:r>
          </w:p>
        </w:tc>
        <w:tc>
          <w:tcPr>
            <w:tcW w:w="1900" w:type="dxa"/>
            <w:tcMar>
              <w:top w:w="80" w:type="dxa"/>
              <w:left w:w="90" w:type="dxa"/>
              <w:bottom w:w="80" w:type="dxa"/>
              <w:right w:w="90" w:type="dxa"/>
            </w:tcMar>
          </w:tcPr>
          <w:p w14:paraId="5361970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投与開始後2〜3日ごとに再評価。改善が乏しい場合は14日を目安に治療の妥当性を再検討</w:t>
            </w:r>
          </w:p>
        </w:tc>
        <w:tc>
          <w:tcPr>
            <w:tcW w:w="2850" w:type="dxa"/>
            <w:tcMar>
              <w:top w:w="80" w:type="dxa"/>
              <w:left w:w="90" w:type="dxa"/>
              <w:bottom w:w="80" w:type="dxa"/>
              <w:right w:w="90" w:type="dxa"/>
            </w:tcMar>
          </w:tcPr>
          <w:p w14:paraId="61ECB57F"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Best LM, et al. Cochrane Database Syst Rev. 2019;9:CD013103（HRS治療のネットワークメタ解析）</w:t>
            </w:r>
            <w:r w:rsidRPr="00DE1AF5">
              <w:rPr>
                <w:rFonts w:ascii="Noto Sans JP" w:eastAsia="Noto Sans JP" w:hAnsi="Noto Sans JP"/>
                <w:sz w:val="19"/>
                <w:szCs w:val="19"/>
              </w:rPr>
              <w:br/>
              <w:t>Wong F, et al. N Engl J Med. 2021;384:818-828（CONFIRM試験）</w:t>
            </w:r>
          </w:p>
        </w:tc>
      </w:tr>
      <w:tr w:rsidR="001C7883" w:rsidRPr="00DE1AF5" w14:paraId="3EF8020A" w14:textId="77777777">
        <w:tc>
          <w:tcPr>
            <w:tcW w:w="1700" w:type="dxa"/>
            <w:shd w:val="clear" w:color="auto" w:fill="DCE6F1"/>
            <w:tcMar>
              <w:top w:w="80" w:type="dxa"/>
              <w:left w:w="90" w:type="dxa"/>
              <w:bottom w:w="80" w:type="dxa"/>
              <w:right w:w="90" w:type="dxa"/>
            </w:tcMar>
          </w:tcPr>
          <w:p w14:paraId="63F25C99"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難治性腹水の長期管理（CQ3-1）</w:t>
            </w:r>
          </w:p>
        </w:tc>
        <w:tc>
          <w:tcPr>
            <w:tcW w:w="2900" w:type="dxa"/>
            <w:tcMar>
              <w:top w:w="80" w:type="dxa"/>
              <w:left w:w="90" w:type="dxa"/>
              <w:bottom w:w="80" w:type="dxa"/>
              <w:right w:w="90" w:type="dxa"/>
            </w:tcMar>
          </w:tcPr>
          <w:p w14:paraId="63D74720"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腹水量（腹囲・体重）、利尿薬への反応性、尿中Na排泄量、肺水腫等の合併症の有無</w:t>
            </w:r>
          </w:p>
        </w:tc>
        <w:tc>
          <w:tcPr>
            <w:tcW w:w="1900" w:type="dxa"/>
            <w:tcMar>
              <w:top w:w="80" w:type="dxa"/>
              <w:left w:w="90" w:type="dxa"/>
              <w:bottom w:w="80" w:type="dxa"/>
              <w:right w:w="90" w:type="dxa"/>
            </w:tcMar>
          </w:tcPr>
          <w:p w14:paraId="54D085E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外来での週1〜2回投与を基本とし、数週間〜数か月単位で継続要否を見直す</w:t>
            </w:r>
          </w:p>
        </w:tc>
        <w:tc>
          <w:tcPr>
            <w:tcW w:w="2850" w:type="dxa"/>
            <w:tcMar>
              <w:top w:w="80" w:type="dxa"/>
              <w:left w:w="90" w:type="dxa"/>
              <w:bottom w:w="80" w:type="dxa"/>
              <w:right w:w="90" w:type="dxa"/>
            </w:tcMar>
          </w:tcPr>
          <w:p w14:paraId="5EAD71EA" w14:textId="77777777" w:rsidR="001C7883" w:rsidRPr="00DE1AF5" w:rsidRDefault="002E4D15" w:rsidP="00DE1AF5">
            <w:pPr>
              <w:rPr>
                <w:rFonts w:ascii="Noto Sans JP" w:eastAsia="Noto Sans JP" w:hAnsi="Noto Sans JP"/>
              </w:rPr>
            </w:pPr>
            <w:proofErr w:type="spellStart"/>
            <w:r w:rsidRPr="00DE1AF5">
              <w:rPr>
                <w:rFonts w:ascii="Noto Sans JP" w:eastAsia="Noto Sans JP" w:hAnsi="Noto Sans JP"/>
                <w:sz w:val="19"/>
                <w:szCs w:val="19"/>
              </w:rPr>
              <w:t>Zaccherini</w:t>
            </w:r>
            <w:proofErr w:type="spellEnd"/>
            <w:r w:rsidRPr="00DE1AF5">
              <w:rPr>
                <w:rFonts w:ascii="Noto Sans JP" w:eastAsia="Noto Sans JP" w:hAnsi="Noto Sans JP"/>
                <w:sz w:val="19"/>
                <w:szCs w:val="19"/>
              </w:rPr>
              <w:t xml:space="preserve"> G, et al. </w:t>
            </w:r>
            <w:proofErr w:type="spellStart"/>
            <w:r w:rsidRPr="00DE1AF5">
              <w:rPr>
                <w:rFonts w:ascii="Noto Sans JP" w:eastAsia="Noto Sans JP" w:hAnsi="Noto Sans JP"/>
                <w:sz w:val="19"/>
                <w:szCs w:val="19"/>
              </w:rPr>
              <w:t>Hepat</w:t>
            </w:r>
            <w:proofErr w:type="spellEnd"/>
            <w:r w:rsidRPr="00DE1AF5">
              <w:rPr>
                <w:rFonts w:ascii="Noto Sans JP" w:eastAsia="Noto Sans JP" w:hAnsi="Noto Sans JP"/>
                <w:sz w:val="19"/>
                <w:szCs w:val="19"/>
              </w:rPr>
              <w:t xml:space="preserve"> Med. 2020;12:153-172（アルブミン長期投与を含む系統的レビュー）</w:t>
            </w:r>
            <w:r w:rsidRPr="00DE1AF5">
              <w:rPr>
                <w:rFonts w:ascii="Noto Sans JP" w:eastAsia="Noto Sans JP" w:hAnsi="Noto Sans JP"/>
                <w:sz w:val="19"/>
                <w:szCs w:val="19"/>
              </w:rPr>
              <w:br/>
            </w:r>
            <w:proofErr w:type="spellStart"/>
            <w:r w:rsidRPr="00DE1AF5">
              <w:rPr>
                <w:rFonts w:ascii="Noto Sans JP" w:eastAsia="Noto Sans JP" w:hAnsi="Noto Sans JP"/>
                <w:sz w:val="19"/>
                <w:szCs w:val="19"/>
              </w:rPr>
              <w:t>Caraceni</w:t>
            </w:r>
            <w:proofErr w:type="spellEnd"/>
            <w:r w:rsidRPr="00DE1AF5">
              <w:rPr>
                <w:rFonts w:ascii="Noto Sans JP" w:eastAsia="Noto Sans JP" w:hAnsi="Noto Sans JP"/>
                <w:sz w:val="19"/>
                <w:szCs w:val="19"/>
              </w:rPr>
              <w:t xml:space="preserve"> P, et al. Lancet. 2018;391:2417-2429（ANSWER試験）</w:t>
            </w:r>
          </w:p>
        </w:tc>
      </w:tr>
      <w:tr w:rsidR="001C7883" w:rsidRPr="00DE1AF5" w14:paraId="47C15040" w14:textId="77777777">
        <w:tc>
          <w:tcPr>
            <w:tcW w:w="1700" w:type="dxa"/>
            <w:shd w:val="clear" w:color="auto" w:fill="DCE6F1"/>
            <w:tcMar>
              <w:top w:w="80" w:type="dxa"/>
              <w:left w:w="90" w:type="dxa"/>
              <w:bottom w:w="80" w:type="dxa"/>
              <w:right w:w="90" w:type="dxa"/>
            </w:tcMar>
          </w:tcPr>
          <w:p w14:paraId="4B72FFE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敗血症・敗血症性ショック（CQ2）</w:t>
            </w:r>
          </w:p>
        </w:tc>
        <w:tc>
          <w:tcPr>
            <w:tcW w:w="2900" w:type="dxa"/>
            <w:tcMar>
              <w:top w:w="80" w:type="dxa"/>
              <w:left w:w="90" w:type="dxa"/>
              <w:bottom w:w="80" w:type="dxa"/>
              <w:right w:w="90" w:type="dxa"/>
            </w:tcMar>
          </w:tcPr>
          <w:p w14:paraId="15D09C6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血管作動薬の必要量・離脱可否、乳酸値の推移、尿量、大量晶質液投与の要否</w:t>
            </w:r>
          </w:p>
        </w:tc>
        <w:tc>
          <w:tcPr>
            <w:tcW w:w="1900" w:type="dxa"/>
            <w:tcMar>
              <w:top w:w="80" w:type="dxa"/>
              <w:left w:w="90" w:type="dxa"/>
              <w:bottom w:w="80" w:type="dxa"/>
              <w:right w:w="90" w:type="dxa"/>
            </w:tcMar>
          </w:tcPr>
          <w:p w14:paraId="7F0C3669"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48〜72時間のtime-limited trialで反応性を評価。反応不良なら中止し他の手段を検討</w:t>
            </w:r>
          </w:p>
        </w:tc>
        <w:tc>
          <w:tcPr>
            <w:tcW w:w="2850" w:type="dxa"/>
            <w:tcMar>
              <w:top w:w="80" w:type="dxa"/>
              <w:left w:w="90" w:type="dxa"/>
              <w:bottom w:w="80" w:type="dxa"/>
              <w:right w:w="90" w:type="dxa"/>
            </w:tcMar>
          </w:tcPr>
          <w:p w14:paraId="1290600B"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施設内コンセンサス（評価間隔を規定した特定のRCTはなく、SSC 2021の集中治療的評価枠組みを参考に設定）</w:t>
            </w:r>
          </w:p>
        </w:tc>
      </w:tr>
      <w:tr w:rsidR="001C7883" w:rsidRPr="00DE1AF5" w14:paraId="74207994" w14:textId="77777777">
        <w:tc>
          <w:tcPr>
            <w:tcW w:w="1700" w:type="dxa"/>
            <w:shd w:val="clear" w:color="auto" w:fill="DCE6F1"/>
            <w:tcMar>
              <w:top w:w="80" w:type="dxa"/>
              <w:left w:w="90" w:type="dxa"/>
              <w:bottom w:w="80" w:type="dxa"/>
              <w:right w:w="90" w:type="dxa"/>
            </w:tcMar>
          </w:tcPr>
          <w:p w14:paraId="5E308150"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重症熱傷（CQ7）</w:t>
            </w:r>
          </w:p>
        </w:tc>
        <w:tc>
          <w:tcPr>
            <w:tcW w:w="2900" w:type="dxa"/>
            <w:tcMar>
              <w:top w:w="80" w:type="dxa"/>
              <w:left w:w="90" w:type="dxa"/>
              <w:bottom w:w="80" w:type="dxa"/>
              <w:right w:w="90" w:type="dxa"/>
            </w:tcMar>
          </w:tcPr>
          <w:p w14:paraId="05DDC0A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総輸液量、腹腔内圧、尿量、コンパートメント症候群の徴候</w:t>
            </w:r>
          </w:p>
        </w:tc>
        <w:tc>
          <w:tcPr>
            <w:tcW w:w="1900" w:type="dxa"/>
            <w:tcMar>
              <w:top w:w="80" w:type="dxa"/>
              <w:left w:w="90" w:type="dxa"/>
              <w:bottom w:w="80" w:type="dxa"/>
              <w:right w:w="90" w:type="dxa"/>
            </w:tcMar>
          </w:tcPr>
          <w:p w14:paraId="2734209B"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受傷後18〜24時間以降に導入し、24〜48時間ごとに輸液量とのバランスを再評価</w:t>
            </w:r>
          </w:p>
        </w:tc>
        <w:tc>
          <w:tcPr>
            <w:tcW w:w="2850" w:type="dxa"/>
            <w:tcMar>
              <w:top w:w="80" w:type="dxa"/>
              <w:left w:w="90" w:type="dxa"/>
              <w:bottom w:w="80" w:type="dxa"/>
              <w:right w:w="90" w:type="dxa"/>
            </w:tcMar>
          </w:tcPr>
          <w:p w14:paraId="15D3A9A9" w14:textId="77777777" w:rsidR="001C7883" w:rsidRPr="00DE1AF5" w:rsidRDefault="002E4D15" w:rsidP="00DE1AF5">
            <w:pPr>
              <w:rPr>
                <w:rFonts w:ascii="Noto Sans JP" w:eastAsia="Noto Sans JP" w:hAnsi="Noto Sans JP"/>
              </w:rPr>
            </w:pPr>
            <w:proofErr w:type="spellStart"/>
            <w:r w:rsidRPr="00DE1AF5">
              <w:rPr>
                <w:rFonts w:ascii="Noto Sans JP" w:eastAsia="Noto Sans JP" w:hAnsi="Noto Sans JP"/>
                <w:sz w:val="19"/>
                <w:szCs w:val="19"/>
              </w:rPr>
              <w:t>Navickis</w:t>
            </w:r>
            <w:proofErr w:type="spellEnd"/>
            <w:r w:rsidRPr="00DE1AF5">
              <w:rPr>
                <w:rFonts w:ascii="Noto Sans JP" w:eastAsia="Noto Sans JP" w:hAnsi="Noto Sans JP"/>
                <w:sz w:val="19"/>
                <w:szCs w:val="19"/>
              </w:rPr>
              <w:t xml:space="preserve"> RJ, et al. J Burn Care Res. 2016;37:268-278（アルブミンと総輸液量・腹腔内圧に関するメタ解析）</w:t>
            </w:r>
          </w:p>
        </w:tc>
      </w:tr>
      <w:tr w:rsidR="001C7883" w:rsidRPr="00DE1AF5" w14:paraId="638FBA89" w14:textId="77777777">
        <w:tc>
          <w:tcPr>
            <w:tcW w:w="1700" w:type="dxa"/>
            <w:shd w:val="clear" w:color="auto" w:fill="DCE6F1"/>
            <w:tcMar>
              <w:top w:w="80" w:type="dxa"/>
              <w:left w:w="90" w:type="dxa"/>
              <w:bottom w:w="80" w:type="dxa"/>
              <w:right w:w="90" w:type="dxa"/>
            </w:tcMar>
          </w:tcPr>
          <w:p w14:paraId="1CE5240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低蛋白血症による治療抵抗性肺水腫（CQ8）</w:t>
            </w:r>
          </w:p>
        </w:tc>
        <w:tc>
          <w:tcPr>
            <w:tcW w:w="2900" w:type="dxa"/>
            <w:tcMar>
              <w:top w:w="80" w:type="dxa"/>
              <w:left w:w="90" w:type="dxa"/>
              <w:bottom w:w="80" w:type="dxa"/>
              <w:right w:w="90" w:type="dxa"/>
            </w:tcMar>
          </w:tcPr>
          <w:p w14:paraId="1DA39408"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酸素化（SpO2・P/F比）、血清アルブミン値、利尿薬への反応</w:t>
            </w:r>
          </w:p>
        </w:tc>
        <w:tc>
          <w:tcPr>
            <w:tcW w:w="1900" w:type="dxa"/>
            <w:tcMar>
              <w:top w:w="80" w:type="dxa"/>
              <w:left w:w="90" w:type="dxa"/>
              <w:bottom w:w="80" w:type="dxa"/>
              <w:right w:w="90" w:type="dxa"/>
            </w:tcMar>
          </w:tcPr>
          <w:p w14:paraId="2772C3E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数日ごとに再評価し、改善が得られなければ漫然と継続せず中止する</w:t>
            </w:r>
          </w:p>
        </w:tc>
        <w:tc>
          <w:tcPr>
            <w:tcW w:w="2850" w:type="dxa"/>
            <w:tcMar>
              <w:top w:w="80" w:type="dxa"/>
              <w:left w:w="90" w:type="dxa"/>
              <w:bottom w:w="80" w:type="dxa"/>
              <w:right w:w="90" w:type="dxa"/>
            </w:tcMar>
          </w:tcPr>
          <w:p w14:paraId="78D3772C"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施設内コンセンサス（評価間隔を規定した特定のRCTはなく、一般的な肺水腫管理の原則に基づく）</w:t>
            </w:r>
          </w:p>
        </w:tc>
      </w:tr>
      <w:tr w:rsidR="001C7883" w:rsidRPr="00DE1AF5" w14:paraId="65124AD4" w14:textId="77777777">
        <w:tc>
          <w:tcPr>
            <w:tcW w:w="1700" w:type="dxa"/>
            <w:shd w:val="clear" w:color="auto" w:fill="DCE6F1"/>
            <w:tcMar>
              <w:top w:w="80" w:type="dxa"/>
              <w:left w:w="90" w:type="dxa"/>
              <w:bottom w:w="80" w:type="dxa"/>
              <w:right w:w="90" w:type="dxa"/>
            </w:tcMar>
          </w:tcPr>
          <w:p w14:paraId="1BF3F4C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治療的血漿交換療法（CQ6）</w:t>
            </w:r>
          </w:p>
        </w:tc>
        <w:tc>
          <w:tcPr>
            <w:tcW w:w="2900" w:type="dxa"/>
            <w:tcMar>
              <w:top w:w="80" w:type="dxa"/>
              <w:left w:w="90" w:type="dxa"/>
              <w:bottom w:w="80" w:type="dxa"/>
              <w:right w:w="90" w:type="dxa"/>
            </w:tcMar>
          </w:tcPr>
          <w:p w14:paraId="7903774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神経疾患：筋力・機能スコア等の神経学的評価／ABO不適合移植：抗A・抗B抗体価</w:t>
            </w:r>
          </w:p>
        </w:tc>
        <w:tc>
          <w:tcPr>
            <w:tcW w:w="1900" w:type="dxa"/>
            <w:tcMar>
              <w:top w:w="80" w:type="dxa"/>
              <w:left w:w="90" w:type="dxa"/>
              <w:bottom w:w="80" w:type="dxa"/>
              <w:right w:w="90" w:type="dxa"/>
            </w:tcMar>
          </w:tcPr>
          <w:p w14:paraId="15039C9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施行毎に評価。神経疾患では治療コース（複数回のPE）終了時点で効果を総括評価</w:t>
            </w:r>
          </w:p>
        </w:tc>
        <w:tc>
          <w:tcPr>
            <w:tcW w:w="2850" w:type="dxa"/>
            <w:tcMar>
              <w:top w:w="80" w:type="dxa"/>
              <w:left w:w="90" w:type="dxa"/>
              <w:bottom w:w="80" w:type="dxa"/>
              <w:right w:w="90" w:type="dxa"/>
            </w:tcMar>
          </w:tcPr>
          <w:p w14:paraId="469BE0F7"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 xml:space="preserve">ABO不適合移植の抗体価：ASFA第9版ガイドライン（Connelly-Smith L, et al. J Clin </w:t>
            </w:r>
            <w:proofErr w:type="spellStart"/>
            <w:r w:rsidRPr="00DE1AF5">
              <w:rPr>
                <w:rFonts w:ascii="Noto Sans JP" w:eastAsia="Noto Sans JP" w:hAnsi="Noto Sans JP"/>
                <w:sz w:val="19"/>
                <w:szCs w:val="19"/>
              </w:rPr>
              <w:t>Apher</w:t>
            </w:r>
            <w:proofErr w:type="spellEnd"/>
            <w:r w:rsidRPr="00DE1AF5">
              <w:rPr>
                <w:rFonts w:ascii="Noto Sans JP" w:eastAsia="Noto Sans JP" w:hAnsi="Noto Sans JP"/>
                <w:sz w:val="19"/>
                <w:szCs w:val="19"/>
              </w:rPr>
              <w:t>. 2023;38:77-278）／神経疾患の評価間隔：施設内コンセンサス（評価間隔を規定した特定のRCTはない）</w:t>
            </w:r>
          </w:p>
        </w:tc>
      </w:tr>
    </w:tbl>
    <w:p w14:paraId="09CDA4D3" w14:textId="77777777" w:rsidR="001C7883" w:rsidRPr="00DE1AF5" w:rsidRDefault="001C7883" w:rsidP="00DE1AF5">
      <w:pPr>
        <w:spacing w:after="160"/>
        <w:jc w:val="both"/>
        <w:rPr>
          <w:rFonts w:ascii="Noto Sans JP" w:eastAsia="Noto Sans JP" w:hAnsi="Noto Sans JP"/>
        </w:rPr>
      </w:pPr>
    </w:p>
    <w:p w14:paraId="3138E528" w14:textId="77777777" w:rsidR="001C7883" w:rsidRPr="00DE1AF5" w:rsidRDefault="002E4D15" w:rsidP="00DE1AF5">
      <w:pPr>
        <w:spacing w:after="160" w:line="280" w:lineRule="auto"/>
        <w:jc w:val="both"/>
        <w:rPr>
          <w:rFonts w:ascii="Noto Sans JP" w:eastAsia="Noto Sans JP" w:hAnsi="Noto Sans JP"/>
        </w:rPr>
      </w:pPr>
      <w:r w:rsidRPr="00DE1AF5">
        <w:rPr>
          <w:rFonts w:ascii="Noto Sans JP" w:eastAsia="Noto Sans JP" w:hAnsi="Noto Sans JP"/>
          <w:i/>
          <w:iCs/>
          <w:color w:val="595959"/>
          <w:sz w:val="20"/>
          <w:szCs w:val="20"/>
        </w:rPr>
        <w:t>※ ここに挙げた判断材料は代表的なものであり、個々の患者の合併症・重症度により追加の評価項目が必要になる場合がある。</w:t>
      </w:r>
    </w:p>
    <w:p w14:paraId="6EBBF357"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lastRenderedPageBreak/>
        <w:t>5. 代替輸液の選択に関する考え方</w:t>
      </w:r>
    </w:p>
    <w:p w14:paraId="3B733935"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アルブミン製剤の適応に該当しない、または該当性が不明確な病態においては、まず晶質液による対応の可否を検討する。以下に主要な輸液製剤の位置づけと根拠文献を示す。</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2700"/>
        <w:gridCol w:w="2600"/>
        <w:gridCol w:w="2300"/>
      </w:tblGrid>
      <w:tr w:rsidR="001C7883" w:rsidRPr="00DE1AF5" w14:paraId="7C53751C" w14:textId="77777777">
        <w:trPr>
          <w:tblHeader/>
        </w:trPr>
        <w:tc>
          <w:tcPr>
            <w:tcW w:w="1750" w:type="dxa"/>
            <w:shd w:val="clear" w:color="auto" w:fill="1F3864"/>
            <w:tcMar>
              <w:top w:w="80" w:type="dxa"/>
              <w:left w:w="90" w:type="dxa"/>
              <w:bottom w:w="80" w:type="dxa"/>
              <w:right w:w="90" w:type="dxa"/>
            </w:tcMar>
          </w:tcPr>
          <w:p w14:paraId="4E666F9C"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輸液製剤</w:t>
            </w:r>
          </w:p>
        </w:tc>
        <w:tc>
          <w:tcPr>
            <w:tcW w:w="2700" w:type="dxa"/>
            <w:shd w:val="clear" w:color="auto" w:fill="1F3864"/>
            <w:tcMar>
              <w:top w:w="80" w:type="dxa"/>
              <w:left w:w="90" w:type="dxa"/>
              <w:bottom w:w="80" w:type="dxa"/>
              <w:right w:w="90" w:type="dxa"/>
            </w:tcMar>
          </w:tcPr>
          <w:p w14:paraId="4AD486D8"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位置づけ</w:t>
            </w:r>
          </w:p>
        </w:tc>
        <w:tc>
          <w:tcPr>
            <w:tcW w:w="2600" w:type="dxa"/>
            <w:shd w:val="clear" w:color="auto" w:fill="1F3864"/>
            <w:tcMar>
              <w:top w:w="80" w:type="dxa"/>
              <w:left w:w="90" w:type="dxa"/>
              <w:bottom w:w="80" w:type="dxa"/>
              <w:right w:w="90" w:type="dxa"/>
            </w:tcMar>
          </w:tcPr>
          <w:p w14:paraId="5645D7C5"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注意点</w:t>
            </w:r>
          </w:p>
        </w:tc>
        <w:tc>
          <w:tcPr>
            <w:tcW w:w="2300" w:type="dxa"/>
            <w:shd w:val="clear" w:color="auto" w:fill="1F3864"/>
            <w:tcMar>
              <w:top w:w="80" w:type="dxa"/>
              <w:left w:w="90" w:type="dxa"/>
              <w:bottom w:w="80" w:type="dxa"/>
              <w:right w:w="90" w:type="dxa"/>
            </w:tcMar>
          </w:tcPr>
          <w:p w14:paraId="50738F76" w14:textId="77777777" w:rsidR="001C7883" w:rsidRPr="00DE1AF5" w:rsidRDefault="002E4D15" w:rsidP="00DE1AF5">
            <w:pPr>
              <w:jc w:val="center"/>
              <w:rPr>
                <w:rFonts w:ascii="Noto Sans JP" w:eastAsia="Noto Sans JP" w:hAnsi="Noto Sans JP"/>
              </w:rPr>
            </w:pPr>
            <w:r w:rsidRPr="00DE1AF5">
              <w:rPr>
                <w:rFonts w:ascii="Noto Sans JP" w:eastAsia="Noto Sans JP" w:hAnsi="Noto Sans JP"/>
                <w:b/>
                <w:bCs/>
                <w:color w:val="FFFFFF"/>
                <w:sz w:val="19"/>
                <w:szCs w:val="19"/>
              </w:rPr>
              <w:t>エビデンスレベル・根拠文献</w:t>
            </w:r>
          </w:p>
        </w:tc>
      </w:tr>
      <w:tr w:rsidR="001C7883" w:rsidRPr="00DE1AF5" w14:paraId="72F61F36" w14:textId="77777777">
        <w:tc>
          <w:tcPr>
            <w:tcW w:w="1750" w:type="dxa"/>
            <w:shd w:val="clear" w:color="auto" w:fill="DCE6F1"/>
            <w:tcMar>
              <w:top w:w="80" w:type="dxa"/>
              <w:left w:w="90" w:type="dxa"/>
              <w:bottom w:w="80" w:type="dxa"/>
              <w:right w:w="90" w:type="dxa"/>
            </w:tcMar>
          </w:tcPr>
          <w:p w14:paraId="28C0ABCF"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バランス晶質液</w:t>
            </w:r>
            <w:r w:rsidRPr="00DE1AF5">
              <w:rPr>
                <w:rFonts w:ascii="Noto Sans JP" w:eastAsia="Noto Sans JP" w:hAnsi="Noto Sans JP"/>
                <w:b/>
                <w:bCs/>
                <w:sz w:val="19"/>
                <w:szCs w:val="19"/>
              </w:rPr>
              <w:br/>
              <w:t>（乳酸/酢酸リンゲル液等)</w:t>
            </w:r>
          </w:p>
        </w:tc>
        <w:tc>
          <w:tcPr>
            <w:tcW w:w="2700" w:type="dxa"/>
            <w:tcMar>
              <w:top w:w="80" w:type="dxa"/>
              <w:left w:w="90" w:type="dxa"/>
              <w:bottom w:w="80" w:type="dxa"/>
              <w:right w:w="90" w:type="dxa"/>
            </w:tcMar>
          </w:tcPr>
          <w:p w14:paraId="028BE8C3"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大多数の病態における輸液蘇生の第一選択</w:t>
            </w:r>
          </w:p>
        </w:tc>
        <w:tc>
          <w:tcPr>
            <w:tcW w:w="2600" w:type="dxa"/>
            <w:tcMar>
              <w:top w:w="80" w:type="dxa"/>
              <w:left w:w="90" w:type="dxa"/>
              <w:bottom w:w="80" w:type="dxa"/>
              <w:right w:w="90" w:type="dxa"/>
            </w:tcMar>
          </w:tcPr>
          <w:p w14:paraId="4C6D3C08"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大量投与時は電解質・酸塩基平衡を定期モニタリング</w:t>
            </w:r>
          </w:p>
        </w:tc>
        <w:tc>
          <w:tcPr>
            <w:tcW w:w="2300" w:type="dxa"/>
            <w:tcMar>
              <w:top w:w="80" w:type="dxa"/>
              <w:left w:w="90" w:type="dxa"/>
              <w:bottom w:w="80" w:type="dxa"/>
              <w:right w:w="90" w:type="dxa"/>
            </w:tcMar>
          </w:tcPr>
          <w:p w14:paraId="15A4EBC8"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弱い推奨・低（SSC 2021）</w:t>
            </w:r>
            <w:r w:rsidRPr="00DE1AF5">
              <w:rPr>
                <w:rFonts w:ascii="Noto Sans JP" w:eastAsia="Noto Sans JP" w:hAnsi="Noto Sans JP"/>
                <w:sz w:val="19"/>
                <w:szCs w:val="19"/>
              </w:rPr>
              <w:br/>
              <w:t>バランス晶質液 vs 生食の比較</w:t>
            </w:r>
          </w:p>
        </w:tc>
      </w:tr>
      <w:tr w:rsidR="001C7883" w:rsidRPr="00DE1AF5" w14:paraId="0013E6D1" w14:textId="77777777">
        <w:tc>
          <w:tcPr>
            <w:tcW w:w="1750" w:type="dxa"/>
            <w:shd w:val="clear" w:color="auto" w:fill="DCE6F1"/>
            <w:tcMar>
              <w:top w:w="80" w:type="dxa"/>
              <w:left w:w="90" w:type="dxa"/>
              <w:bottom w:w="80" w:type="dxa"/>
              <w:right w:w="90" w:type="dxa"/>
            </w:tcMar>
          </w:tcPr>
          <w:p w14:paraId="6718465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生理食塩水</w:t>
            </w:r>
          </w:p>
        </w:tc>
        <w:tc>
          <w:tcPr>
            <w:tcW w:w="2700" w:type="dxa"/>
            <w:tcMar>
              <w:top w:w="80" w:type="dxa"/>
              <w:left w:w="90" w:type="dxa"/>
              <w:bottom w:w="80" w:type="dxa"/>
              <w:right w:w="90" w:type="dxa"/>
            </w:tcMar>
          </w:tcPr>
          <w:p w14:paraId="29503F6B"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特定の適応（低Cl性代謝性アルカローシス等）に限定使用</w:t>
            </w:r>
          </w:p>
        </w:tc>
        <w:tc>
          <w:tcPr>
            <w:tcW w:w="2600" w:type="dxa"/>
            <w:tcMar>
              <w:top w:w="80" w:type="dxa"/>
              <w:left w:w="90" w:type="dxa"/>
              <w:bottom w:w="80" w:type="dxa"/>
              <w:right w:w="90" w:type="dxa"/>
            </w:tcMar>
          </w:tcPr>
          <w:p w14:paraId="069DB95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大量投与で高Cl性代謝性アシドーシス・腎障害リスク増大の報告あり</w:t>
            </w:r>
          </w:p>
        </w:tc>
        <w:tc>
          <w:tcPr>
            <w:tcW w:w="2300" w:type="dxa"/>
            <w:tcMar>
              <w:top w:w="80" w:type="dxa"/>
              <w:left w:w="90" w:type="dxa"/>
              <w:bottom w:w="80" w:type="dxa"/>
              <w:right w:w="90" w:type="dxa"/>
            </w:tcMar>
          </w:tcPr>
          <w:p w14:paraId="6BDC5E20"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中等度</w:t>
            </w:r>
            <w:r w:rsidRPr="00DE1AF5">
              <w:rPr>
                <w:rFonts w:ascii="Noto Sans JP" w:eastAsia="Noto Sans JP" w:hAnsi="Noto Sans JP"/>
                <w:sz w:val="19"/>
                <w:szCs w:val="19"/>
              </w:rPr>
              <w:br/>
              <w:t xml:space="preserve">Hammond DA, et al. Ann </w:t>
            </w:r>
            <w:proofErr w:type="spellStart"/>
            <w:r w:rsidRPr="00DE1AF5">
              <w:rPr>
                <w:rFonts w:ascii="Noto Sans JP" w:eastAsia="Noto Sans JP" w:hAnsi="Noto Sans JP"/>
                <w:sz w:val="19"/>
                <w:szCs w:val="19"/>
              </w:rPr>
              <w:t>Pharmacother</w:t>
            </w:r>
            <w:proofErr w:type="spellEnd"/>
            <w:r w:rsidRPr="00DE1AF5">
              <w:rPr>
                <w:rFonts w:ascii="Noto Sans JP" w:eastAsia="Noto Sans JP" w:hAnsi="Noto Sans JP"/>
                <w:sz w:val="19"/>
                <w:szCs w:val="19"/>
              </w:rPr>
              <w:t>. 2020;54:5-13（メタ解析）</w:t>
            </w:r>
            <w:r w:rsidRPr="00DE1AF5">
              <w:rPr>
                <w:rFonts w:ascii="Noto Sans JP" w:eastAsia="Noto Sans JP" w:hAnsi="Noto Sans JP"/>
                <w:sz w:val="19"/>
                <w:szCs w:val="19"/>
              </w:rPr>
              <w:br/>
              <w:t>SMART: Semler MW, et al. N Engl J Med. 2018;378:829-839</w:t>
            </w:r>
          </w:p>
        </w:tc>
      </w:tr>
      <w:tr w:rsidR="001C7883" w:rsidRPr="00DE1AF5" w14:paraId="366A45A1" w14:textId="77777777">
        <w:tc>
          <w:tcPr>
            <w:tcW w:w="1750" w:type="dxa"/>
            <w:shd w:val="clear" w:color="auto" w:fill="DCE6F1"/>
            <w:tcMar>
              <w:top w:w="80" w:type="dxa"/>
              <w:left w:w="90" w:type="dxa"/>
              <w:bottom w:w="80" w:type="dxa"/>
              <w:right w:w="90" w:type="dxa"/>
            </w:tcMar>
          </w:tcPr>
          <w:p w14:paraId="168A96B4"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人工膠質液（HES等)</w:t>
            </w:r>
          </w:p>
        </w:tc>
        <w:tc>
          <w:tcPr>
            <w:tcW w:w="2700" w:type="dxa"/>
            <w:tcMar>
              <w:top w:w="80" w:type="dxa"/>
              <w:left w:w="90" w:type="dxa"/>
              <w:bottom w:w="80" w:type="dxa"/>
              <w:right w:w="90" w:type="dxa"/>
            </w:tcMar>
          </w:tcPr>
          <w:p w14:paraId="5DC42266"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原則として院内使用を推奨しない</w:t>
            </w:r>
          </w:p>
        </w:tc>
        <w:tc>
          <w:tcPr>
            <w:tcW w:w="2600" w:type="dxa"/>
            <w:tcMar>
              <w:top w:w="80" w:type="dxa"/>
              <w:left w:w="90" w:type="dxa"/>
              <w:bottom w:w="80" w:type="dxa"/>
              <w:right w:w="90" w:type="dxa"/>
            </w:tcMar>
          </w:tcPr>
          <w:p w14:paraId="48689497"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重症敗血症患者は添付文書上「禁忌」。腎障害・凝固障害リスクの報告あり</w:t>
            </w:r>
          </w:p>
        </w:tc>
        <w:tc>
          <w:tcPr>
            <w:tcW w:w="2300" w:type="dxa"/>
            <w:tcMar>
              <w:top w:w="80" w:type="dxa"/>
              <w:left w:w="90" w:type="dxa"/>
              <w:bottom w:w="80" w:type="dxa"/>
              <w:right w:w="90" w:type="dxa"/>
            </w:tcMar>
          </w:tcPr>
          <w:p w14:paraId="6F193DF1"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高（規制上の根拠あり）</w:t>
            </w:r>
            <w:r w:rsidRPr="00DE1AF5">
              <w:rPr>
                <w:rFonts w:ascii="Noto Sans JP" w:eastAsia="Noto Sans JP" w:hAnsi="Noto Sans JP"/>
                <w:sz w:val="19"/>
                <w:szCs w:val="19"/>
              </w:rPr>
              <w:br/>
              <w:t>PMDA使用上の注意改訂（2023年1月）</w:t>
            </w:r>
            <w:r w:rsidRPr="00DE1AF5">
              <w:rPr>
                <w:rFonts w:ascii="Noto Sans JP" w:eastAsia="Noto Sans JP" w:hAnsi="Noto Sans JP"/>
                <w:sz w:val="19"/>
                <w:szCs w:val="19"/>
              </w:rPr>
              <w:br/>
            </w:r>
            <w:proofErr w:type="spellStart"/>
            <w:r w:rsidRPr="00DE1AF5">
              <w:rPr>
                <w:rFonts w:ascii="Noto Sans JP" w:eastAsia="Noto Sans JP" w:hAnsi="Noto Sans JP"/>
                <w:sz w:val="19"/>
                <w:szCs w:val="19"/>
              </w:rPr>
              <w:t>Zarychanski</w:t>
            </w:r>
            <w:proofErr w:type="spellEnd"/>
            <w:r w:rsidRPr="00DE1AF5">
              <w:rPr>
                <w:rFonts w:ascii="Noto Sans JP" w:eastAsia="Noto Sans JP" w:hAnsi="Noto Sans JP"/>
                <w:sz w:val="19"/>
                <w:szCs w:val="19"/>
              </w:rPr>
              <w:t xml:space="preserve"> R, et al. JAMA. 2013;309:678-688（メタ解析）</w:t>
            </w:r>
            <w:r w:rsidRPr="00DE1AF5">
              <w:rPr>
                <w:rFonts w:ascii="Noto Sans JP" w:eastAsia="Noto Sans JP" w:hAnsi="Noto Sans JP"/>
                <w:sz w:val="19"/>
                <w:szCs w:val="19"/>
              </w:rPr>
              <w:br/>
              <w:t>6S: Perner A, et al. N Engl J Med. 2012;367:124-134</w:t>
            </w:r>
            <w:r w:rsidRPr="00DE1AF5">
              <w:rPr>
                <w:rFonts w:ascii="Noto Sans JP" w:eastAsia="Noto Sans JP" w:hAnsi="Noto Sans JP"/>
                <w:sz w:val="19"/>
                <w:szCs w:val="19"/>
              </w:rPr>
              <w:br/>
              <w:t>CHEST: Myburgh JA, et al. N Engl J Med. 2012;367:1901-1911</w:t>
            </w:r>
          </w:p>
        </w:tc>
      </w:tr>
      <w:tr w:rsidR="001C7883" w:rsidRPr="00DE1AF5" w14:paraId="23E54616" w14:textId="77777777">
        <w:tc>
          <w:tcPr>
            <w:tcW w:w="1750" w:type="dxa"/>
            <w:shd w:val="clear" w:color="auto" w:fill="DCE6F1"/>
            <w:tcMar>
              <w:top w:w="80" w:type="dxa"/>
              <w:left w:w="90" w:type="dxa"/>
              <w:bottom w:w="80" w:type="dxa"/>
              <w:right w:w="90" w:type="dxa"/>
            </w:tcMar>
          </w:tcPr>
          <w:p w14:paraId="25FE0DBA"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b/>
                <w:bCs/>
                <w:sz w:val="19"/>
                <w:szCs w:val="19"/>
              </w:rPr>
              <w:t>アルブミン製剤</w:t>
            </w:r>
          </w:p>
        </w:tc>
        <w:tc>
          <w:tcPr>
            <w:tcW w:w="2700" w:type="dxa"/>
            <w:tcMar>
              <w:top w:w="80" w:type="dxa"/>
              <w:left w:w="90" w:type="dxa"/>
              <w:bottom w:w="80" w:type="dxa"/>
              <w:right w:w="90" w:type="dxa"/>
            </w:tcMar>
          </w:tcPr>
          <w:p w14:paraId="1E61630D"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本指針の適応基準（表2）を満たす病態に限定</w:t>
            </w:r>
          </w:p>
        </w:tc>
        <w:tc>
          <w:tcPr>
            <w:tcW w:w="2600" w:type="dxa"/>
            <w:tcMar>
              <w:top w:w="80" w:type="dxa"/>
              <w:left w:w="90" w:type="dxa"/>
              <w:bottom w:w="80" w:type="dxa"/>
              <w:right w:w="90" w:type="dxa"/>
            </w:tcMar>
          </w:tcPr>
          <w:p w14:paraId="1921B255" w14:textId="77777777" w:rsidR="001C7883" w:rsidRPr="00DE1AF5" w:rsidRDefault="002E4D15" w:rsidP="00DE1AF5">
            <w:pPr>
              <w:jc w:val="both"/>
              <w:rPr>
                <w:rFonts w:ascii="Noto Sans JP" w:eastAsia="Noto Sans JP" w:hAnsi="Noto Sans JP"/>
              </w:rPr>
            </w:pPr>
            <w:r w:rsidRPr="00DE1AF5">
              <w:rPr>
                <w:rFonts w:ascii="Noto Sans JP" w:eastAsia="Noto Sans JP" w:hAnsi="Noto Sans JP"/>
                <w:sz w:val="19"/>
                <w:szCs w:val="19"/>
              </w:rPr>
              <w:t>血液製剤であり、供給・コスト・感染対策上の観点から必要最小限とする</w:t>
            </w:r>
          </w:p>
        </w:tc>
        <w:tc>
          <w:tcPr>
            <w:tcW w:w="2300" w:type="dxa"/>
            <w:tcMar>
              <w:top w:w="80" w:type="dxa"/>
              <w:left w:w="90" w:type="dxa"/>
              <w:bottom w:w="80" w:type="dxa"/>
              <w:right w:w="90" w:type="dxa"/>
            </w:tcMar>
          </w:tcPr>
          <w:p w14:paraId="3CC31ABB" w14:textId="77777777" w:rsidR="001C7883" w:rsidRPr="00DE1AF5" w:rsidRDefault="002E4D15" w:rsidP="00DE1AF5">
            <w:pPr>
              <w:rPr>
                <w:rFonts w:ascii="Noto Sans JP" w:eastAsia="Noto Sans JP" w:hAnsi="Noto Sans JP"/>
              </w:rPr>
            </w:pPr>
            <w:r w:rsidRPr="00DE1AF5">
              <w:rPr>
                <w:rFonts w:ascii="Noto Sans JP" w:eastAsia="Noto Sans JP" w:hAnsi="Noto Sans JP"/>
                <w:sz w:val="19"/>
                <w:szCs w:val="19"/>
              </w:rPr>
              <w:t>中等度〜高（安全性は確立、優越性は未証明）</w:t>
            </w:r>
            <w:r w:rsidRPr="00DE1AF5">
              <w:rPr>
                <w:rFonts w:ascii="Noto Sans JP" w:eastAsia="Noto Sans JP" w:hAnsi="Noto Sans JP"/>
                <w:sz w:val="19"/>
                <w:szCs w:val="19"/>
              </w:rPr>
              <w:br/>
              <w:t>Lewis SR, et al. Cochrane Database Syst Rev. 2018;8:CD000567</w:t>
            </w:r>
            <w:r w:rsidRPr="00DE1AF5">
              <w:rPr>
                <w:rFonts w:ascii="Noto Sans JP" w:eastAsia="Noto Sans JP" w:hAnsi="Noto Sans JP"/>
                <w:sz w:val="19"/>
                <w:szCs w:val="19"/>
              </w:rPr>
              <w:br/>
              <w:t>Patel A, et al. BMJ. 2014;349:g4561</w:t>
            </w:r>
            <w:r w:rsidRPr="00DE1AF5">
              <w:rPr>
                <w:rFonts w:ascii="Noto Sans JP" w:eastAsia="Noto Sans JP" w:hAnsi="Noto Sans JP"/>
                <w:sz w:val="19"/>
                <w:szCs w:val="19"/>
              </w:rPr>
              <w:br/>
              <w:t xml:space="preserve">SAFE: </w:t>
            </w:r>
            <w:proofErr w:type="spellStart"/>
            <w:r w:rsidRPr="00DE1AF5">
              <w:rPr>
                <w:rFonts w:ascii="Noto Sans JP" w:eastAsia="Noto Sans JP" w:hAnsi="Noto Sans JP"/>
                <w:sz w:val="19"/>
                <w:szCs w:val="19"/>
              </w:rPr>
              <w:t>Finfer</w:t>
            </w:r>
            <w:proofErr w:type="spellEnd"/>
            <w:r w:rsidRPr="00DE1AF5">
              <w:rPr>
                <w:rFonts w:ascii="Noto Sans JP" w:eastAsia="Noto Sans JP" w:hAnsi="Noto Sans JP"/>
                <w:sz w:val="19"/>
                <w:szCs w:val="19"/>
              </w:rPr>
              <w:t xml:space="preserve"> S, et al. N Engl J Med. 2004;350:2247-2256</w:t>
            </w:r>
            <w:r w:rsidRPr="00DE1AF5">
              <w:rPr>
                <w:rFonts w:ascii="Noto Sans JP" w:eastAsia="Noto Sans JP" w:hAnsi="Noto Sans JP"/>
                <w:sz w:val="19"/>
                <w:szCs w:val="19"/>
              </w:rPr>
              <w:br/>
            </w:r>
            <w:r w:rsidRPr="00DE1AF5">
              <w:rPr>
                <w:rFonts w:ascii="Noto Sans JP" w:eastAsia="Noto Sans JP" w:hAnsi="Noto Sans JP"/>
                <w:sz w:val="19"/>
                <w:szCs w:val="19"/>
              </w:rPr>
              <w:lastRenderedPageBreak/>
              <w:t xml:space="preserve">ALBIOS: </w:t>
            </w:r>
            <w:proofErr w:type="spellStart"/>
            <w:r w:rsidRPr="00DE1AF5">
              <w:rPr>
                <w:rFonts w:ascii="Noto Sans JP" w:eastAsia="Noto Sans JP" w:hAnsi="Noto Sans JP"/>
                <w:sz w:val="19"/>
                <w:szCs w:val="19"/>
              </w:rPr>
              <w:t>Caironi</w:t>
            </w:r>
            <w:proofErr w:type="spellEnd"/>
            <w:r w:rsidRPr="00DE1AF5">
              <w:rPr>
                <w:rFonts w:ascii="Noto Sans JP" w:eastAsia="Noto Sans JP" w:hAnsi="Noto Sans JP"/>
                <w:sz w:val="19"/>
                <w:szCs w:val="19"/>
              </w:rPr>
              <w:t xml:space="preserve"> P, et al. N Engl J Med. 2014;370:1412-1421</w:t>
            </w:r>
          </w:p>
        </w:tc>
      </w:tr>
    </w:tbl>
    <w:p w14:paraId="2DBE7EC7" w14:textId="77777777" w:rsidR="001C7883" w:rsidRPr="00DE1AF5" w:rsidRDefault="001C7883" w:rsidP="00DE1AF5">
      <w:pPr>
        <w:spacing w:after="200"/>
        <w:jc w:val="both"/>
        <w:rPr>
          <w:rFonts w:ascii="Noto Sans JP" w:eastAsia="Noto Sans JP" w:hAnsi="Noto Sans JP"/>
        </w:rPr>
      </w:pPr>
    </w:p>
    <w:p w14:paraId="00126865"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5.1 選択の優先順位（原則)</w:t>
      </w:r>
    </w:p>
    <w:p w14:paraId="5D3BA4D6"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第一選択：バランス晶質液（乳酸／酢酸リンゲル液等)</w:t>
      </w:r>
    </w:p>
    <w:p w14:paraId="542F7DC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第二選択：病態に応じた輸血療法（RBC・FFP等）またはアルブミン製剤（等張・高張は病態により異なる、表2の適応に該当する場合）</w:t>
      </w:r>
    </w:p>
    <w:p w14:paraId="3CF9598B"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原則使用しない：人工膠質液（HES等、重症敗血症患者では添付文書上禁忌）、生理食塩水の大量・漫然投与</w:t>
      </w:r>
    </w:p>
    <w:p w14:paraId="44ECF4F3"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この優先順位は絶対的なものではなく、個々の患者の腎機能・電解質・循環動態等に応じて調整する。ただし、アルブミン製剤を選択する場合は、その理由を診療録に明記することを必須とする（4.2参照）。</w:t>
      </w:r>
    </w:p>
    <w:p w14:paraId="517DE4BE"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t>6. モニタリング指標</w:t>
      </w:r>
    </w:p>
    <w:p w14:paraId="65BD3E63" w14:textId="77777777" w:rsidR="001C7883" w:rsidRPr="00DE1AF5" w:rsidRDefault="002E4D15" w:rsidP="00DE1AF5">
      <w:pPr>
        <w:spacing w:after="140" w:line="300" w:lineRule="auto"/>
        <w:jc w:val="both"/>
        <w:rPr>
          <w:rFonts w:ascii="Noto Sans JP" w:eastAsia="Noto Sans JP" w:hAnsi="Noto Sans JP"/>
        </w:rPr>
      </w:pPr>
      <w:r w:rsidRPr="00DE1AF5">
        <w:rPr>
          <w:rFonts w:ascii="Noto Sans JP" w:eastAsia="Noto Sans JP" w:hAnsi="Noto Sans JP"/>
        </w:rPr>
        <w:t>投与中は以下の項目を定期的に評価し、中止基準（4.3）への該当性を確認する。</w:t>
      </w:r>
    </w:p>
    <w:p w14:paraId="280F555A"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循環動態（血圧・心拍数・尿量・乳酸値等)</w:t>
      </w:r>
    </w:p>
    <w:p w14:paraId="6F4A1B0F"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体液過剰の徴候（体重増加・浮腫・呼吸困難・胸部画像所見)</w:t>
      </w:r>
    </w:p>
    <w:p w14:paraId="08FD0597"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血清アルブミン値・総蛋白・電解質</w:t>
      </w:r>
    </w:p>
    <w:p w14:paraId="6DCC1E23"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腎機能（Cr・BUN・尿量)</w:t>
      </w:r>
    </w:p>
    <w:p w14:paraId="4AAD0BF7"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有害事象（アレルギー反応、TACO/TRALI疑い所見等)</w:t>
      </w:r>
    </w:p>
    <w:p w14:paraId="6BB0E842"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t>7. 院内実施体制</w:t>
      </w:r>
    </w:p>
    <w:p w14:paraId="7CCB0A88"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7.1 各部門の役割</w:t>
      </w:r>
    </w:p>
    <w:p w14:paraId="14600C9A"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主治医：適応判断、開始時の必須記載（4.2）、中止基準への該当性評価</w:t>
      </w:r>
    </w:p>
    <w:p w14:paraId="43D039E6"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病棟薬剤師：処方時の適応確認、中止基準該当時のアラート・主治医への確認</w:t>
      </w:r>
    </w:p>
    <w:p w14:paraId="264A111C"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輸血部門：使用量モニタリング、不適正使用が疑われる症例の抽出、コンサルト対応</w:t>
      </w:r>
    </w:p>
    <w:p w14:paraId="027F2FE0"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輸血療法委員会：指針の維持管理、監査結果の報告、改訂の要否判断</w:t>
      </w:r>
    </w:p>
    <w:p w14:paraId="645C498A"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lastRenderedPageBreak/>
        <w:t>7.2 監査とフィードバック（PDCA)</w:t>
      </w:r>
    </w:p>
    <w:p w14:paraId="437E1092"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四半期ごとに、投与症例の適応該当性・中止基準の遵守状況を輸血部門が抽出し、輸血療法委員会に報告する。</w:t>
      </w:r>
    </w:p>
    <w:p w14:paraId="564E8EEC"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不適正使用と判定された症例については、個人の責任追及ではなく、指針の分かりにくさ・運用上の障壁の抽出を目的として振り返りを行う。</w:t>
      </w:r>
    </w:p>
    <w:p w14:paraId="1ECDE46E"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監査結果は年1回、院内研修（医師・看護師・薬剤師対象）にフィードバックし、指針の周知徹底を図る。</w:t>
      </w:r>
    </w:p>
    <w:p w14:paraId="5BC10AA1"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t>8. 各施設における導入計画（例)</w:t>
      </w:r>
    </w:p>
    <w:p w14:paraId="17C1A4F2"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第1段階：各施設の輸血療法委員会・薬事委員会等で本指針の採用を検討・承認、電子カルテのオーダーコメント・テンプレートに反映</w:t>
      </w:r>
    </w:p>
    <w:p w14:paraId="7AE1A550"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第2段階：関連診療科（消化器内科・集中治療科・救急科・麻酔科・外科系等）への説明会実施</w:t>
      </w:r>
    </w:p>
    <w:p w14:paraId="3D8FE041"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第3段階：導入後3か月時点で使用量・適応該当率の中間評価を実施し、必要に応じて</w:t>
      </w:r>
      <w:r w:rsidRPr="00BF67A1">
        <w:rPr>
          <w:rFonts w:ascii="Noto Sans JP" w:eastAsia="Noto Sans JP" w:hAnsi="Noto Sans JP"/>
        </w:rPr>
        <w:t>指針を</w:t>
      </w:r>
      <w:r w:rsidRPr="00DE1AF5">
        <w:rPr>
          <w:rFonts w:ascii="Noto Sans JP" w:eastAsia="Noto Sans JP" w:hAnsi="Noto Sans JP"/>
        </w:rPr>
        <w:t>微修正</w:t>
      </w:r>
    </w:p>
    <w:p w14:paraId="539AF08F"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第4段階：導入後1年時点で正式な効果評価（使用量、不適正使用率、コスト影響等）を実施し、学会等での報告を検討</w:t>
      </w:r>
    </w:p>
    <w:p w14:paraId="7A0B7AB5" w14:textId="77777777" w:rsidR="001C7883" w:rsidRPr="00DE1AF5" w:rsidRDefault="002E4D15" w:rsidP="00DE1AF5">
      <w:pPr>
        <w:pStyle w:val="1"/>
        <w:jc w:val="both"/>
        <w:rPr>
          <w:rFonts w:ascii="Noto Sans JP" w:eastAsia="Noto Sans JP" w:hAnsi="Noto Sans JP"/>
        </w:rPr>
      </w:pPr>
      <w:r w:rsidRPr="00DE1AF5">
        <w:rPr>
          <w:rFonts w:ascii="Noto Sans JP" w:eastAsia="Noto Sans JP" w:hAnsi="Noto Sans JP"/>
        </w:rPr>
        <w:t>9. 参考文献</w:t>
      </w:r>
    </w:p>
    <w:p w14:paraId="256F6D03" w14:textId="77777777" w:rsidR="001C7883" w:rsidRPr="00DE1AF5" w:rsidRDefault="002E4D15" w:rsidP="00DE1AF5">
      <w:pPr>
        <w:spacing w:after="160" w:line="280" w:lineRule="auto"/>
        <w:jc w:val="both"/>
        <w:rPr>
          <w:rFonts w:ascii="Noto Sans JP" w:eastAsia="Noto Sans JP" w:hAnsi="Noto Sans JP"/>
        </w:rPr>
      </w:pPr>
      <w:r w:rsidRPr="00DE1AF5">
        <w:rPr>
          <w:rFonts w:ascii="Noto Sans JP" w:eastAsia="Noto Sans JP" w:hAnsi="Noto Sans JP"/>
          <w:i/>
          <w:iCs/>
          <w:color w:val="595959"/>
          <w:sz w:val="20"/>
          <w:szCs w:val="20"/>
        </w:rPr>
        <w:t>各文献は最新版を参照されたい。</w:t>
      </w:r>
    </w:p>
    <w:p w14:paraId="3EB5DE49"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主たる根拠ガイドライン</w:t>
      </w:r>
    </w:p>
    <w:p w14:paraId="621D7A52"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野﨑昭人、安村敏、佐藤智彦、田中朝志、米村雄士、松﨑浩史、河野武弘、志村勇司、牧野茂義、松本雅則：科学的根拠に基づいたアルブミン製剤の使用ガイドライン（改訂第3版）．日本輸血細胞治療学会誌．2024;70(3):406-430.</w:t>
      </w:r>
    </w:p>
    <w:p w14:paraId="1FEA99E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日本輸血・細胞治療学会 ガイドライン委員会：輸血療法実践ガイド．日本輸血細胞治療学会誌．2026;72(3):521-570.（III章4節「アルブミン製剤」549-550頁が本指針の内容と対応。厚生労働省「血液製剤の使用指針」「輸血療法の実施に関する指針」を統合したガイドラインであり、旧両指針に代えて参照する）</w:t>
      </w:r>
    </w:p>
    <w:p w14:paraId="061EB492"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t>その他のガイドライン・指針</w:t>
      </w:r>
    </w:p>
    <w:p w14:paraId="6301F85D"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EASL Clinical Practice Guidelines for the management of patients with decompensated cirrhosis. J Hepatol. 2018.</w:t>
      </w:r>
    </w:p>
    <w:p w14:paraId="5DA1F1E2"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lastRenderedPageBreak/>
        <w:t>EASL Clinical Practice Guidelines on the management of ascites, SBP, and HRS in cirrhosis. J Hepatol. 2010.</w:t>
      </w:r>
    </w:p>
    <w:p w14:paraId="28C94CBC"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AASLD Practice Guidance: Diagnosis, Evaluation, and Management of Ascites, SBP and HRS in cirrhosis. Hepatology. 2021.</w:t>
      </w:r>
    </w:p>
    <w:p w14:paraId="4D9195C6"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Evans L, et al. Surviving Sepsis Campaign: International Guidelines for Management of Sepsis and Septic Shock 2021. Intensive Care Med. 2021;47:1181-1247.</w:t>
      </w:r>
    </w:p>
    <w:p w14:paraId="652B9FB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江木盛時、他：日本版敗血症診療ガイドライン2020．日救急医会誌．2021;28:S1-S411.</w:t>
      </w:r>
    </w:p>
    <w:p w14:paraId="559B716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ISBI Practice Guidelines for Burn Care. Burns. 2016.</w:t>
      </w:r>
    </w:p>
    <w:p w14:paraId="475A0CD4"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PMDA：ヒドロキシエチルデンプン製剤の「使用上の注意」改訂について（2023年1月）</w:t>
      </w:r>
    </w:p>
    <w:p w14:paraId="64AAF263" w14:textId="1733BE9A" w:rsidR="001C7883" w:rsidRPr="00DE1AF5" w:rsidRDefault="00BF67A1" w:rsidP="00DE1AF5">
      <w:pPr>
        <w:pStyle w:val="2"/>
        <w:jc w:val="both"/>
        <w:rPr>
          <w:rFonts w:ascii="Noto Sans JP" w:eastAsia="Noto Sans JP" w:hAnsi="Noto Sans JP"/>
        </w:rPr>
      </w:pPr>
      <w:r w:rsidRPr="00BF67A1">
        <w:rPr>
          <w:rFonts w:ascii="Noto Sans JP" w:eastAsia="Noto Sans JP" w:hAnsi="Noto Sans JP" w:hint="eastAsia"/>
        </w:rPr>
        <w:t>メタアナリシス・系統的レビュー・主要臨床試験</w:t>
      </w:r>
    </w:p>
    <w:p w14:paraId="0D21A3D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 xml:space="preserve">Salerno F, </w:t>
      </w:r>
      <w:proofErr w:type="spellStart"/>
      <w:r w:rsidRPr="00DE1AF5">
        <w:rPr>
          <w:rFonts w:ascii="Noto Sans JP" w:eastAsia="Noto Sans JP" w:hAnsi="Noto Sans JP"/>
        </w:rPr>
        <w:t>Navickis</w:t>
      </w:r>
      <w:proofErr w:type="spellEnd"/>
      <w:r w:rsidRPr="00DE1AF5">
        <w:rPr>
          <w:rFonts w:ascii="Noto Sans JP" w:eastAsia="Noto Sans JP" w:hAnsi="Noto Sans JP"/>
        </w:rPr>
        <w:t xml:space="preserve"> RJ, Wilkes MM. Albumin infusion improves outcomes of patients with spontaneous bacterial peritonitis: a meta-analysis of randomized trials. Clin Gastroenterol Hepatol. 2013;11:123-130.（4.1節・4.6節：SBPの根拠）</w:t>
      </w:r>
    </w:p>
    <w:p w14:paraId="5E97742D"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proofErr w:type="spellStart"/>
      <w:r w:rsidRPr="00DE1AF5">
        <w:rPr>
          <w:rFonts w:ascii="Noto Sans JP" w:eastAsia="Noto Sans JP" w:hAnsi="Noto Sans JP"/>
        </w:rPr>
        <w:t>Zaccherini</w:t>
      </w:r>
      <w:proofErr w:type="spellEnd"/>
      <w:r w:rsidRPr="00DE1AF5">
        <w:rPr>
          <w:rFonts w:ascii="Noto Sans JP" w:eastAsia="Noto Sans JP" w:hAnsi="Noto Sans JP"/>
        </w:rPr>
        <w:t xml:space="preserve"> G, </w:t>
      </w:r>
      <w:proofErr w:type="spellStart"/>
      <w:r w:rsidRPr="00DE1AF5">
        <w:rPr>
          <w:rFonts w:ascii="Noto Sans JP" w:eastAsia="Noto Sans JP" w:hAnsi="Noto Sans JP"/>
        </w:rPr>
        <w:t>Tufoni</w:t>
      </w:r>
      <w:proofErr w:type="spellEnd"/>
      <w:r w:rsidRPr="00DE1AF5">
        <w:rPr>
          <w:rFonts w:ascii="Noto Sans JP" w:eastAsia="Noto Sans JP" w:hAnsi="Noto Sans JP"/>
        </w:rPr>
        <w:t xml:space="preserve"> M, Bernardi M. Albumin administration is efficacious in the management of patients with cirrhosis: a systematic review of the literature. </w:t>
      </w:r>
      <w:proofErr w:type="spellStart"/>
      <w:r w:rsidRPr="00DE1AF5">
        <w:rPr>
          <w:rFonts w:ascii="Noto Sans JP" w:eastAsia="Noto Sans JP" w:hAnsi="Noto Sans JP"/>
        </w:rPr>
        <w:t>Hepat</w:t>
      </w:r>
      <w:proofErr w:type="spellEnd"/>
      <w:r w:rsidRPr="00DE1AF5">
        <w:rPr>
          <w:rFonts w:ascii="Noto Sans JP" w:eastAsia="Noto Sans JP" w:hAnsi="Noto Sans JP"/>
        </w:rPr>
        <w:t xml:space="preserve"> Med. 2020;12:153-172.（4.1節・4.6節：難治性腹水に対する長期投与等の根拠）</w:t>
      </w:r>
    </w:p>
    <w:p w14:paraId="7350D2F6"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 xml:space="preserve">Bernardi M, </w:t>
      </w:r>
      <w:proofErr w:type="spellStart"/>
      <w:r w:rsidRPr="00DE1AF5">
        <w:rPr>
          <w:rFonts w:ascii="Noto Sans JP" w:eastAsia="Noto Sans JP" w:hAnsi="Noto Sans JP"/>
        </w:rPr>
        <w:t>Caraceni</w:t>
      </w:r>
      <w:proofErr w:type="spellEnd"/>
      <w:r w:rsidRPr="00DE1AF5">
        <w:rPr>
          <w:rFonts w:ascii="Noto Sans JP" w:eastAsia="Noto Sans JP" w:hAnsi="Noto Sans JP"/>
        </w:rPr>
        <w:t xml:space="preserve"> P, </w:t>
      </w:r>
      <w:proofErr w:type="spellStart"/>
      <w:r w:rsidRPr="00DE1AF5">
        <w:rPr>
          <w:rFonts w:ascii="Noto Sans JP" w:eastAsia="Noto Sans JP" w:hAnsi="Noto Sans JP"/>
        </w:rPr>
        <w:t>Navickis</w:t>
      </w:r>
      <w:proofErr w:type="spellEnd"/>
      <w:r w:rsidRPr="00DE1AF5">
        <w:rPr>
          <w:rFonts w:ascii="Noto Sans JP" w:eastAsia="Noto Sans JP" w:hAnsi="Noto Sans JP"/>
        </w:rPr>
        <w:t xml:space="preserve"> RJ, et al. Albumin infusion in patients undergoing large-volume paracentesis: a meta-analysis of randomized trials. Hepatology. 2012;55:1172-1181.（4.6節：大量腹水穿刺後の評価根拠）</w:t>
      </w:r>
    </w:p>
    <w:p w14:paraId="7EBA27CA"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proofErr w:type="spellStart"/>
      <w:r w:rsidRPr="00DE1AF5">
        <w:rPr>
          <w:rFonts w:ascii="Noto Sans JP" w:eastAsia="Noto Sans JP" w:hAnsi="Noto Sans JP"/>
        </w:rPr>
        <w:t>Navickis</w:t>
      </w:r>
      <w:proofErr w:type="spellEnd"/>
      <w:r w:rsidRPr="00DE1AF5">
        <w:rPr>
          <w:rFonts w:ascii="Noto Sans JP" w:eastAsia="Noto Sans JP" w:hAnsi="Noto Sans JP"/>
        </w:rPr>
        <w:t xml:space="preserve"> RJ, Greenhalgh DG, Wilkes MM. Albumin in burn shock resuscitation: a meta-analysis of controlled clinical studies. J Burn Care Res. 2016;37:268-278.（4.6節：重症熱傷の評価根拠）</w:t>
      </w:r>
    </w:p>
    <w:p w14:paraId="46957D7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Best LM, Freeman SC, Sutton AJ, et al. Treatment for hepatorenal syndrome in people with decompensated liver cirrhosis: a network meta-analysis. Cochrane Database Syst Rev. 2019;9:CD013103.（4.1節・4.6節：HRS-AKIの根拠）</w:t>
      </w:r>
    </w:p>
    <w:p w14:paraId="6FFB65FE"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China L, et al. (ATTIRE trial) A randomized trial of albumin infusions in hospitalized patients with cirrhosis. N Engl J Med. 2021;384:808-817.（4.3節：有害事象に基づく中止基準の根拠）</w:t>
      </w:r>
    </w:p>
    <w:p w14:paraId="1A84B5B7"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Lewis SR, et al. Colloids versus crystalloids for fluid resuscitation in critically ill people. Cochrane Database Syst Rev. 2018;8:CD000567.（4.1節CQ1・5章：膠質液と晶質液の比較）</w:t>
      </w:r>
    </w:p>
    <w:p w14:paraId="703BEB72"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 xml:space="preserve">Patel A, et al. </w:t>
      </w:r>
      <w:proofErr w:type="spellStart"/>
      <w:r w:rsidRPr="00DE1AF5">
        <w:rPr>
          <w:rFonts w:ascii="Noto Sans JP" w:eastAsia="Noto Sans JP" w:hAnsi="Noto Sans JP"/>
        </w:rPr>
        <w:t>Randomised</w:t>
      </w:r>
      <w:proofErr w:type="spellEnd"/>
      <w:r w:rsidRPr="00DE1AF5">
        <w:rPr>
          <w:rFonts w:ascii="Noto Sans JP" w:eastAsia="Noto Sans JP" w:hAnsi="Noto Sans JP"/>
        </w:rPr>
        <w:t xml:space="preserve"> trials of human albumin for adults with sepsis: systematic review and meta-analysis with trial sequential analysis of all-cause mortality. BMJ. 2014;349:g4561.（4.1節CQ2・5章：敗血症におけるアルブミン）</w:t>
      </w:r>
    </w:p>
    <w:p w14:paraId="45C45692"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lastRenderedPageBreak/>
        <w:t xml:space="preserve">Hammond DA, et al. Balanced crystalloids versus saline in critically ill adults: a systematic review and meta-analysis. Ann </w:t>
      </w:r>
      <w:proofErr w:type="spellStart"/>
      <w:r w:rsidRPr="00DE1AF5">
        <w:rPr>
          <w:rFonts w:ascii="Noto Sans JP" w:eastAsia="Noto Sans JP" w:hAnsi="Noto Sans JP"/>
        </w:rPr>
        <w:t>Pharmacother</w:t>
      </w:r>
      <w:proofErr w:type="spellEnd"/>
      <w:r w:rsidRPr="00DE1AF5">
        <w:rPr>
          <w:rFonts w:ascii="Noto Sans JP" w:eastAsia="Noto Sans JP" w:hAnsi="Noto Sans JP"/>
        </w:rPr>
        <w:t>. 2020;54:5-13.（5章：バランス晶質液と生理食塩水の比較）</w:t>
      </w:r>
    </w:p>
    <w:p w14:paraId="1839F71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proofErr w:type="spellStart"/>
      <w:r w:rsidRPr="00DE1AF5">
        <w:rPr>
          <w:rFonts w:ascii="Noto Sans JP" w:eastAsia="Noto Sans JP" w:hAnsi="Noto Sans JP"/>
        </w:rPr>
        <w:t>Zarychanski</w:t>
      </w:r>
      <w:proofErr w:type="spellEnd"/>
      <w:r w:rsidRPr="00DE1AF5">
        <w:rPr>
          <w:rFonts w:ascii="Noto Sans JP" w:eastAsia="Noto Sans JP" w:hAnsi="Noto Sans JP"/>
        </w:rPr>
        <w:t xml:space="preserve"> R, et al. Association of hydroxyethyl starch administration with mortality and acute kidney injury in critically ill patients requiring volume resuscitation: a systematic review and meta-analysis. JAMA. 2013;309:678-688.（5章：HESの安全性）</w:t>
      </w:r>
    </w:p>
    <w:p w14:paraId="02C8A48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proofErr w:type="spellStart"/>
      <w:r w:rsidRPr="00DE1AF5">
        <w:rPr>
          <w:rFonts w:ascii="Noto Sans JP" w:eastAsia="Noto Sans JP" w:hAnsi="Noto Sans JP"/>
        </w:rPr>
        <w:t>Finfer</w:t>
      </w:r>
      <w:proofErr w:type="spellEnd"/>
      <w:r w:rsidRPr="00DE1AF5">
        <w:rPr>
          <w:rFonts w:ascii="Noto Sans JP" w:eastAsia="Noto Sans JP" w:hAnsi="Noto Sans JP"/>
        </w:rPr>
        <w:t xml:space="preserve"> S, et al. (SAFE). A comparison of albumin and saline for fluid resuscitation in the intensive care unit. N Engl J Med. 2004;350:2247-2256.（4.1節CQ1・5章）</w:t>
      </w:r>
    </w:p>
    <w:p w14:paraId="665C2528"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proofErr w:type="spellStart"/>
      <w:r w:rsidRPr="00DE1AF5">
        <w:rPr>
          <w:rFonts w:ascii="Noto Sans JP" w:eastAsia="Noto Sans JP" w:hAnsi="Noto Sans JP"/>
        </w:rPr>
        <w:t>Caironi</w:t>
      </w:r>
      <w:proofErr w:type="spellEnd"/>
      <w:r w:rsidRPr="00DE1AF5">
        <w:rPr>
          <w:rFonts w:ascii="Noto Sans JP" w:eastAsia="Noto Sans JP" w:hAnsi="Noto Sans JP"/>
        </w:rPr>
        <w:t xml:space="preserve"> P, et al. (ALBIOS). Albumin replacement in patients with severe sepsis or septic shock. N Engl J Med. 2014;370:1412-1421.（4.1節CQ2・5章）</w:t>
      </w:r>
    </w:p>
    <w:p w14:paraId="780A5B21"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Sort P, et al. Effect of intravenous albumin on renal impairment and mortality in patients with cirrhosis and spontaneous bacterial peritonitis. N Engl J Med. 1999;341:403-409.（4.1節・4.6節：SBP）</w:t>
      </w:r>
    </w:p>
    <w:p w14:paraId="4056EB89"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proofErr w:type="spellStart"/>
      <w:r w:rsidRPr="00DE1AF5">
        <w:rPr>
          <w:rFonts w:ascii="Noto Sans JP" w:eastAsia="Noto Sans JP" w:hAnsi="Noto Sans JP"/>
        </w:rPr>
        <w:t>Caraceni</w:t>
      </w:r>
      <w:proofErr w:type="spellEnd"/>
      <w:r w:rsidRPr="00DE1AF5">
        <w:rPr>
          <w:rFonts w:ascii="Noto Sans JP" w:eastAsia="Noto Sans JP" w:hAnsi="Noto Sans JP"/>
        </w:rPr>
        <w:t xml:space="preserve"> P, et al. (ANSWER). Long-term albumin administration in decompensated cirrhosis (ANSWER): an open-label </w:t>
      </w:r>
      <w:proofErr w:type="spellStart"/>
      <w:r w:rsidRPr="00DE1AF5">
        <w:rPr>
          <w:rFonts w:ascii="Noto Sans JP" w:eastAsia="Noto Sans JP" w:hAnsi="Noto Sans JP"/>
        </w:rPr>
        <w:t>randomised</w:t>
      </w:r>
      <w:proofErr w:type="spellEnd"/>
      <w:r w:rsidRPr="00DE1AF5">
        <w:rPr>
          <w:rFonts w:ascii="Noto Sans JP" w:eastAsia="Noto Sans JP" w:hAnsi="Noto Sans JP"/>
        </w:rPr>
        <w:t xml:space="preserve"> trial. Lancet. 2018;391:2417-2429.（4.1節・4.6節：難治性腹水）</w:t>
      </w:r>
    </w:p>
    <w:p w14:paraId="6196CBFF"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 xml:space="preserve">Wong F, et al. (CONFIRM). </w:t>
      </w:r>
      <w:proofErr w:type="spellStart"/>
      <w:r w:rsidRPr="00DE1AF5">
        <w:rPr>
          <w:rFonts w:ascii="Noto Sans JP" w:eastAsia="Noto Sans JP" w:hAnsi="Noto Sans JP"/>
        </w:rPr>
        <w:t>Terlipressin</w:t>
      </w:r>
      <w:proofErr w:type="spellEnd"/>
      <w:r w:rsidRPr="00DE1AF5">
        <w:rPr>
          <w:rFonts w:ascii="Noto Sans JP" w:eastAsia="Noto Sans JP" w:hAnsi="Noto Sans JP"/>
        </w:rPr>
        <w:t xml:space="preserve"> plus albumin for the treatment of type 1 hepatorenal syndrome. N Engl J Med. 2021;384:818-828.（4.1節・4.6節：HRS-AKI）</w:t>
      </w:r>
    </w:p>
    <w:p w14:paraId="711CDEAF"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Semler MW, et al. (SMART). Balanced crystalloids versus saline in critically ill adults. N Engl J Med. 2018;378:829-839.（5章）</w:t>
      </w:r>
    </w:p>
    <w:p w14:paraId="7B97D2BC"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Perner A, et al. (6S). Hydroxyethyl starch 130/0.42 versus Ringer's acetate in severe sepsis. N Engl J Med. 2012;367:124-134.（5章）</w:t>
      </w:r>
    </w:p>
    <w:p w14:paraId="0A7C7D8C"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Myburgh JA, et al. (CHEST). Hydroxyethyl starch or saline for fluid resuscitation in intensive care. N Engl J Med. 2012;367:1901-1911.（5章）</w:t>
      </w:r>
    </w:p>
    <w:p w14:paraId="64E91217"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Myburgh J, et al. (SAFE-TBI). Saline or albumin for fluid resuscitation in patients with traumatic brain injury. N Engl J Med. 2007;357:874-884.（4.1節CQ9・4.1.1節）</w:t>
      </w:r>
    </w:p>
    <w:p w14:paraId="5C67D8F7"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Pesonen E, et al. Effect of 4% albumin solution vs Ringer acetate on major adverse events in patients undergoing cardiac surgery with cardiopulmonary bypass: a randomized clinical trial. JAMA. 2022;328:251-258.（4.1節CQ10）</w:t>
      </w:r>
    </w:p>
    <w:p w14:paraId="16FB690E" w14:textId="77777777" w:rsidR="001C7883"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 xml:space="preserve">Cochrane Injuries Group Albumin Reviewers. Human albumin administration in critically ill patients: systematic review of </w:t>
      </w:r>
      <w:proofErr w:type="spellStart"/>
      <w:r w:rsidRPr="00DE1AF5">
        <w:rPr>
          <w:rFonts w:ascii="Noto Sans JP" w:eastAsia="Noto Sans JP" w:hAnsi="Noto Sans JP"/>
        </w:rPr>
        <w:t>randomised</w:t>
      </w:r>
      <w:proofErr w:type="spellEnd"/>
      <w:r w:rsidRPr="00DE1AF5">
        <w:rPr>
          <w:rFonts w:ascii="Noto Sans JP" w:eastAsia="Noto Sans JP" w:hAnsi="Noto Sans JP"/>
        </w:rPr>
        <w:t xml:space="preserve"> controlled trials. BMJ. 1998;317:235-240.</w:t>
      </w:r>
    </w:p>
    <w:p w14:paraId="10B6872F" w14:textId="77777777" w:rsidR="003214A4" w:rsidRPr="00DE1AF5" w:rsidRDefault="003214A4" w:rsidP="003214A4">
      <w:pPr>
        <w:pStyle w:val="a4"/>
        <w:spacing w:after="80" w:line="280" w:lineRule="auto"/>
        <w:ind w:left="420"/>
        <w:jc w:val="both"/>
        <w:rPr>
          <w:rFonts w:ascii="Noto Sans JP" w:eastAsia="Noto Sans JP" w:hAnsi="Noto Sans JP" w:hint="eastAsia"/>
        </w:rPr>
      </w:pPr>
    </w:p>
    <w:p w14:paraId="45F9F216" w14:textId="77777777" w:rsidR="001C7883" w:rsidRPr="00DE1AF5" w:rsidRDefault="002E4D15" w:rsidP="00DE1AF5">
      <w:pPr>
        <w:pStyle w:val="2"/>
        <w:jc w:val="both"/>
        <w:rPr>
          <w:rFonts w:ascii="Noto Sans JP" w:eastAsia="Noto Sans JP" w:hAnsi="Noto Sans JP"/>
        </w:rPr>
      </w:pPr>
      <w:r w:rsidRPr="00DE1AF5">
        <w:rPr>
          <w:rFonts w:ascii="Noto Sans JP" w:eastAsia="Noto Sans JP" w:hAnsi="Noto Sans JP"/>
        </w:rPr>
        <w:lastRenderedPageBreak/>
        <w:t>治療的血漿交換療法</w:t>
      </w:r>
    </w:p>
    <w:p w14:paraId="20C91215"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長谷川雄一、玉井佳子、鈴木伸明、他：科学的根拠に基づいた新鮮凍結血漿の使用ガイドライン（改訂第3版）．日本輸血細胞治療学会誌．2026;72(3):571-592.（TPEにおけるFFP/アルブミン置換液の使い分けに関する推奨を含む）</w:t>
      </w:r>
    </w:p>
    <w:p w14:paraId="5CC76C2B" w14:textId="77777777" w:rsidR="001C7883" w:rsidRPr="00DE1AF5" w:rsidRDefault="002E4D15" w:rsidP="00DE1AF5">
      <w:pPr>
        <w:pStyle w:val="a4"/>
        <w:numPr>
          <w:ilvl w:val="0"/>
          <w:numId w:val="2"/>
        </w:numPr>
        <w:spacing w:after="80" w:line="280" w:lineRule="auto"/>
        <w:jc w:val="both"/>
        <w:rPr>
          <w:rFonts w:ascii="Noto Sans JP" w:eastAsia="Noto Sans JP" w:hAnsi="Noto Sans JP"/>
        </w:rPr>
      </w:pPr>
      <w:r w:rsidRPr="00DE1AF5">
        <w:rPr>
          <w:rFonts w:ascii="Noto Sans JP" w:eastAsia="Noto Sans JP" w:hAnsi="Noto Sans JP"/>
        </w:rPr>
        <w:t xml:space="preserve">Connelly-Smith L, Alquist CR, Aqui NA, et al. Guidelines on the use of therapeutic apheresis in clinical practice — evidence-based approach from the writing committee of the American Society for Apheresis: the ninth special issue. J Clin </w:t>
      </w:r>
      <w:proofErr w:type="spellStart"/>
      <w:r w:rsidRPr="00DE1AF5">
        <w:rPr>
          <w:rFonts w:ascii="Noto Sans JP" w:eastAsia="Noto Sans JP" w:hAnsi="Noto Sans JP"/>
        </w:rPr>
        <w:t>Apher</w:t>
      </w:r>
      <w:proofErr w:type="spellEnd"/>
      <w:r w:rsidRPr="00DE1AF5">
        <w:rPr>
          <w:rFonts w:ascii="Noto Sans JP" w:eastAsia="Noto Sans JP" w:hAnsi="Noto Sans JP"/>
        </w:rPr>
        <w:t>. 2023;38(2):77-278.（旧版のCortese I, et al. Neurology. 2011;76:294-300はAANにより[RETIRED]と公式に指定されたため、現行のASFA第9版ガイドラインに差し替え。4.6節のABO不適合移植の抗体価評価でも参照）</w:t>
      </w:r>
    </w:p>
    <w:sectPr w:rsidR="001C7883" w:rsidRPr="00DE1AF5" w:rsidSect="00D43513">
      <w:footerReference w:type="default" r:id="rId7"/>
      <w:pgSz w:w="11906" w:h="16838"/>
      <w:pgMar w:top="1134" w:right="1134" w:bottom="1134" w:left="1134" w:header="708" w:footer="70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8FC4E" w14:textId="77777777" w:rsidR="000D1609" w:rsidRDefault="000D1609">
      <w:r>
        <w:separator/>
      </w:r>
    </w:p>
  </w:endnote>
  <w:endnote w:type="continuationSeparator" w:id="0">
    <w:p w14:paraId="3F956054" w14:textId="77777777" w:rsidR="000D1609" w:rsidRDefault="000D1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oto Sans JP">
    <w:altName w:val="游ゴシック"/>
    <w:charset w:val="80"/>
    <w:family w:val="modern"/>
    <w:pitch w:val="variable"/>
    <w:sig w:usb0="20000287" w:usb1="2ADF3C10" w:usb2="00000016" w:usb3="00000000" w:csb0="00060107"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A6B8" w14:textId="77777777" w:rsidR="001C7883" w:rsidRDefault="002E4D15">
    <w:pPr>
      <w:jc w:val="center"/>
    </w:pPr>
    <w:r>
      <w:rPr>
        <w:color w:val="595959"/>
        <w:sz w:val="18"/>
        <w:szCs w:val="18"/>
      </w:rPr>
      <w:fldChar w:fldCharType="begin"/>
    </w:r>
    <w:r>
      <w:rPr>
        <w:color w:val="595959"/>
        <w:sz w:val="18"/>
        <w:szCs w:val="18"/>
      </w:rPr>
      <w:instrText>PAGE</w:instrText>
    </w:r>
    <w:r>
      <w:rPr>
        <w:color w:val="595959"/>
        <w:sz w:val="18"/>
        <w:szCs w:val="18"/>
      </w:rPr>
      <w:fldChar w:fldCharType="separate"/>
    </w:r>
    <w:r w:rsidR="004D30E8">
      <w:rPr>
        <w:noProof/>
        <w:color w:val="595959"/>
        <w:sz w:val="18"/>
        <w:szCs w:val="18"/>
      </w:rPr>
      <w:t>1</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ED270" w14:textId="77777777" w:rsidR="000D1609" w:rsidRDefault="000D1609">
      <w:r>
        <w:separator/>
      </w:r>
    </w:p>
  </w:footnote>
  <w:footnote w:type="continuationSeparator" w:id="0">
    <w:p w14:paraId="6FE4D3FB" w14:textId="77777777" w:rsidR="000D1609" w:rsidRDefault="000D16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2820"/>
    <w:multiLevelType w:val="hybridMultilevel"/>
    <w:tmpl w:val="8A4ABFAC"/>
    <w:lvl w:ilvl="0" w:tplc="9F90EAEC">
      <w:start w:val="1"/>
      <w:numFmt w:val="bullet"/>
      <w:lvlText w:val="●"/>
      <w:lvlJc w:val="left"/>
      <w:pPr>
        <w:ind w:left="720" w:hanging="360"/>
      </w:pPr>
    </w:lvl>
    <w:lvl w:ilvl="1" w:tplc="0F5457EC">
      <w:start w:val="1"/>
      <w:numFmt w:val="bullet"/>
      <w:lvlText w:val="○"/>
      <w:lvlJc w:val="left"/>
      <w:pPr>
        <w:ind w:left="1440" w:hanging="360"/>
      </w:pPr>
    </w:lvl>
    <w:lvl w:ilvl="2" w:tplc="843C577C">
      <w:start w:val="1"/>
      <w:numFmt w:val="bullet"/>
      <w:lvlText w:val="■"/>
      <w:lvlJc w:val="left"/>
      <w:pPr>
        <w:ind w:left="2160" w:hanging="360"/>
      </w:pPr>
    </w:lvl>
    <w:lvl w:ilvl="3" w:tplc="A47A7F9A">
      <w:start w:val="1"/>
      <w:numFmt w:val="bullet"/>
      <w:lvlText w:val="●"/>
      <w:lvlJc w:val="left"/>
      <w:pPr>
        <w:ind w:left="2880" w:hanging="360"/>
      </w:pPr>
    </w:lvl>
    <w:lvl w:ilvl="4" w:tplc="BCEAE23E">
      <w:start w:val="1"/>
      <w:numFmt w:val="bullet"/>
      <w:lvlText w:val="○"/>
      <w:lvlJc w:val="left"/>
      <w:pPr>
        <w:ind w:left="3600" w:hanging="360"/>
      </w:pPr>
    </w:lvl>
    <w:lvl w:ilvl="5" w:tplc="15F2665C">
      <w:start w:val="1"/>
      <w:numFmt w:val="bullet"/>
      <w:lvlText w:val="■"/>
      <w:lvlJc w:val="left"/>
      <w:pPr>
        <w:ind w:left="4320" w:hanging="360"/>
      </w:pPr>
    </w:lvl>
    <w:lvl w:ilvl="6" w:tplc="3092C678">
      <w:start w:val="1"/>
      <w:numFmt w:val="bullet"/>
      <w:lvlText w:val="●"/>
      <w:lvlJc w:val="left"/>
      <w:pPr>
        <w:ind w:left="5040" w:hanging="360"/>
      </w:pPr>
    </w:lvl>
    <w:lvl w:ilvl="7" w:tplc="92A0A282">
      <w:start w:val="1"/>
      <w:numFmt w:val="bullet"/>
      <w:lvlText w:val="●"/>
      <w:lvlJc w:val="left"/>
      <w:pPr>
        <w:ind w:left="5760" w:hanging="360"/>
      </w:pPr>
    </w:lvl>
    <w:lvl w:ilvl="8" w:tplc="D9F2AF94">
      <w:start w:val="1"/>
      <w:numFmt w:val="bullet"/>
      <w:lvlText w:val="●"/>
      <w:lvlJc w:val="left"/>
      <w:pPr>
        <w:ind w:left="6480" w:hanging="360"/>
      </w:pPr>
    </w:lvl>
  </w:abstractNum>
  <w:abstractNum w:abstractNumId="1" w15:restartNumberingAfterBreak="0">
    <w:nsid w:val="160B5281"/>
    <w:multiLevelType w:val="hybridMultilevel"/>
    <w:tmpl w:val="D61810BE"/>
    <w:lvl w:ilvl="0" w:tplc="8E8C2F3C">
      <w:start w:val="1"/>
      <w:numFmt w:val="bullet"/>
      <w:lvlText w:val="•"/>
      <w:lvlJc w:val="left"/>
      <w:pPr>
        <w:ind w:left="420" w:hanging="260"/>
      </w:pPr>
    </w:lvl>
    <w:lvl w:ilvl="1" w:tplc="8C20098A">
      <w:start w:val="1"/>
      <w:numFmt w:val="bullet"/>
      <w:lvlText w:val="◦"/>
      <w:lvlJc w:val="left"/>
      <w:pPr>
        <w:ind w:left="820" w:hanging="260"/>
      </w:pPr>
    </w:lvl>
    <w:lvl w:ilvl="2" w:tplc="2F96D3F2">
      <w:numFmt w:val="decimal"/>
      <w:lvlText w:val=""/>
      <w:lvlJc w:val="left"/>
    </w:lvl>
    <w:lvl w:ilvl="3" w:tplc="81BC7D10">
      <w:numFmt w:val="decimal"/>
      <w:lvlText w:val=""/>
      <w:lvlJc w:val="left"/>
    </w:lvl>
    <w:lvl w:ilvl="4" w:tplc="7098D652">
      <w:numFmt w:val="decimal"/>
      <w:lvlText w:val=""/>
      <w:lvlJc w:val="left"/>
    </w:lvl>
    <w:lvl w:ilvl="5" w:tplc="8E363C84">
      <w:numFmt w:val="decimal"/>
      <w:lvlText w:val=""/>
      <w:lvlJc w:val="left"/>
    </w:lvl>
    <w:lvl w:ilvl="6" w:tplc="22DE1DCC">
      <w:numFmt w:val="decimal"/>
      <w:lvlText w:val=""/>
      <w:lvlJc w:val="left"/>
    </w:lvl>
    <w:lvl w:ilvl="7" w:tplc="76061EFE">
      <w:numFmt w:val="decimal"/>
      <w:lvlText w:val=""/>
      <w:lvlJc w:val="left"/>
    </w:lvl>
    <w:lvl w:ilvl="8" w:tplc="413E7906">
      <w:numFmt w:val="decimal"/>
      <w:lvlText w:val=""/>
      <w:lvlJc w:val="left"/>
    </w:lvl>
  </w:abstractNum>
  <w:num w:numId="1" w16cid:durableId="746338684">
    <w:abstractNumId w:val="0"/>
    <w:lvlOverride w:ilvl="0">
      <w:startOverride w:val="1"/>
    </w:lvlOverride>
  </w:num>
  <w:num w:numId="2" w16cid:durableId="10158881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bordersDoNotSurroundHeader/>
  <w:bordersDoNotSurroundFooter/>
  <w:proofState w:spelling="clean" w:grammar="dirty"/>
  <w:defaultTabStop w:val="8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883"/>
    <w:rsid w:val="000D1609"/>
    <w:rsid w:val="001814E8"/>
    <w:rsid w:val="001C7883"/>
    <w:rsid w:val="002E4D15"/>
    <w:rsid w:val="003214A4"/>
    <w:rsid w:val="003609BA"/>
    <w:rsid w:val="00486FFF"/>
    <w:rsid w:val="004D30E8"/>
    <w:rsid w:val="007A6C7B"/>
    <w:rsid w:val="007E0DF2"/>
    <w:rsid w:val="00937A4A"/>
    <w:rsid w:val="00A03960"/>
    <w:rsid w:val="00BE5252"/>
    <w:rsid w:val="00BF5BFC"/>
    <w:rsid w:val="00BF67A1"/>
    <w:rsid w:val="00C844D6"/>
    <w:rsid w:val="00C87C53"/>
    <w:rsid w:val="00D43513"/>
    <w:rsid w:val="00DE1A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8065AB"/>
  <w15:docId w15:val="{53DAFE56-ABD8-4F72-8928-10F650113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pBdr>
        <w:bottom w:val="single" w:sz="8" w:space="4" w:color="1F3864"/>
      </w:pBdr>
      <w:spacing w:before="360" w:after="160"/>
      <w:outlineLvl w:val="0"/>
    </w:pPr>
    <w:rPr>
      <w:rFonts w:ascii="游ゴシック" w:eastAsia="游ゴシック" w:hAnsi="游ゴシック" w:cs="游ゴシック"/>
      <w:b/>
      <w:bCs/>
      <w:color w:val="1F3864"/>
      <w:sz w:val="30"/>
      <w:szCs w:val="30"/>
    </w:rPr>
  </w:style>
  <w:style w:type="paragraph" w:styleId="2">
    <w:name w:val="heading 2"/>
    <w:uiPriority w:val="9"/>
    <w:unhideWhenUsed/>
    <w:qFormat/>
    <w:pPr>
      <w:spacing w:before="260" w:after="120"/>
      <w:outlineLvl w:val="1"/>
    </w:pPr>
    <w:rPr>
      <w:rFonts w:ascii="游ゴシック" w:eastAsia="游ゴシック" w:hAnsi="游ゴシック" w:cs="游ゴシック"/>
      <w:b/>
      <w:bCs/>
      <w:color w:val="2E5395"/>
      <w:sz w:val="25"/>
      <w:szCs w:val="25"/>
    </w:rPr>
  </w:style>
  <w:style w:type="paragraph" w:styleId="3">
    <w:name w:val="heading 3"/>
    <w:uiPriority w:val="9"/>
    <w:semiHidden/>
    <w:unhideWhenUsed/>
    <w:qFormat/>
    <w:pPr>
      <w:spacing w:before="200" w:after="100"/>
      <w:outlineLvl w:val="2"/>
    </w:pPr>
    <w:rPr>
      <w:rFonts w:ascii="游ゴシック" w:eastAsia="游ゴシック" w:hAnsi="游ゴシック" w:cs="游ゴシック"/>
      <w:b/>
      <w:bCs/>
      <w:color w:val="595959"/>
      <w:sz w:val="22"/>
      <w:szCs w:val="22"/>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D43513"/>
    <w:pPr>
      <w:tabs>
        <w:tab w:val="center" w:pos="4252"/>
        <w:tab w:val="right" w:pos="8504"/>
      </w:tabs>
      <w:snapToGrid w:val="0"/>
    </w:pPr>
  </w:style>
  <w:style w:type="character" w:customStyle="1" w:styleId="ad">
    <w:name w:val="ヘッダー (文字)"/>
    <w:basedOn w:val="a0"/>
    <w:link w:val="ac"/>
    <w:uiPriority w:val="99"/>
    <w:rsid w:val="00D43513"/>
  </w:style>
  <w:style w:type="paragraph" w:styleId="ae">
    <w:name w:val="footer"/>
    <w:basedOn w:val="a"/>
    <w:link w:val="af"/>
    <w:uiPriority w:val="99"/>
    <w:unhideWhenUsed/>
    <w:rsid w:val="00D43513"/>
    <w:pPr>
      <w:tabs>
        <w:tab w:val="center" w:pos="4252"/>
        <w:tab w:val="right" w:pos="8504"/>
      </w:tabs>
      <w:snapToGrid w:val="0"/>
    </w:pPr>
  </w:style>
  <w:style w:type="character" w:customStyle="1" w:styleId="af">
    <w:name w:val="フッター (文字)"/>
    <w:basedOn w:val="a0"/>
    <w:link w:val="ae"/>
    <w:uiPriority w:val="99"/>
    <w:rsid w:val="00D43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17</Pages>
  <Words>2721</Words>
  <Characters>15510</Characters>
  <Application>Microsoft Office Word</Application>
  <DocSecurity>0</DocSecurity>
  <Lines>129</Lines>
  <Paragraphs>36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田中 雄規</cp:lastModifiedBy>
  <cp:revision>11</cp:revision>
  <dcterms:created xsi:type="dcterms:W3CDTF">2026-10-28T04:38:00Z</dcterms:created>
  <dcterms:modified xsi:type="dcterms:W3CDTF">2026-10-30T12:01:00Z</dcterms:modified>
</cp:coreProperties>
</file>